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EC34B8B"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3A26A0" w:rsidRPr="003A26A0">
        <w:t>1711008</w:t>
      </w:r>
      <w:r w:rsidR="003A26A0" w:rsidRPr="003A26A0">
        <w:rPr>
          <w:highlight w:val="yellow"/>
        </w:rPr>
        <w:t xml:space="preserve"> </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F8CDAEE" w:rsidR="00E90E49" w:rsidRPr="00327997" w:rsidRDefault="003D3C45" w:rsidP="00327997">
      <w:pPr>
        <w:pStyle w:val="3GPPHeader"/>
      </w:pPr>
      <w:r w:rsidRPr="00327997">
        <w:t>Title:</w:t>
      </w:r>
      <w:r w:rsidR="00E90E49" w:rsidRPr="00327997">
        <w:tab/>
      </w:r>
      <w:r w:rsidR="003C2942" w:rsidRPr="003C2942">
        <w:t>UL MIMO procedures for codebook based transmission</w:t>
      </w:r>
    </w:p>
    <w:p w14:paraId="2D554DE3" w14:textId="469D2177" w:rsidR="00952A24" w:rsidRPr="0060787C" w:rsidRDefault="00952A24" w:rsidP="00327997">
      <w:pPr>
        <w:pStyle w:val="3GPPHeader"/>
        <w:rPr>
          <w:lang w:val="en-US"/>
        </w:rPr>
      </w:pPr>
      <w:r w:rsidRPr="0060787C">
        <w:rPr>
          <w:lang w:val="en-US"/>
        </w:rPr>
        <w:t>Agenda Item:</w:t>
      </w:r>
      <w:r w:rsidRPr="0060787C">
        <w:rPr>
          <w:lang w:val="en-US"/>
        </w:rPr>
        <w:tab/>
      </w:r>
      <w:r w:rsidR="009A764B" w:rsidRPr="0060787C">
        <w:rPr>
          <w:lang w:val="en-US"/>
        </w:rPr>
        <w:t>5.1.2.1.2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E7EFD8" w14:textId="77777777" w:rsidR="000D3024" w:rsidRDefault="000D3024" w:rsidP="00612B86">
                            <w:pPr>
                              <w:pStyle w:val="BodyText"/>
                            </w:pPr>
                            <w:r>
                              <w:t>Agreements from RAN1#88 and RAN1#88bis for UL MIMO codebook structure can be summarized as:</w:t>
                            </w:r>
                          </w:p>
                          <w:p w14:paraId="72E8E039" w14:textId="77777777" w:rsidR="000D3024" w:rsidRPr="00F87FD4" w:rsidRDefault="000D3024"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4347E780"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0D3024" w:rsidRPr="005A5DBB"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0D302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0D3024" w:rsidRPr="00E24202"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0D3024" w:rsidRPr="00E24202" w:rsidRDefault="000D3024"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0D3024" w:rsidRPr="0074580D" w:rsidRDefault="000D3024"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0D3024" w:rsidRPr="00F87FD4" w:rsidRDefault="000D3024" w:rsidP="00612B86">
                            <w:pPr>
                              <w:overflowPunct/>
                              <w:autoSpaceDE/>
                              <w:autoSpaceDN/>
                              <w:adjustRightInd/>
                              <w:spacing w:after="0"/>
                              <w:jc w:val="left"/>
                              <w:textAlignment w:val="auto"/>
                              <w:rPr>
                                <w:rFonts w:eastAsia="MS Mincho"/>
                                <w:lang w:val="en-US" w:eastAsia="ja-JP"/>
                              </w:rPr>
                            </w:pPr>
                          </w:p>
                          <w:p w14:paraId="708DB365" w14:textId="77777777" w:rsidR="000D3024" w:rsidRDefault="000D3024" w:rsidP="00612B86">
                            <w:pPr>
                              <w:rPr>
                                <w:rFonts w:eastAsia="MS Mincho"/>
                                <w:lang w:val="en-US" w:eastAsia="ja-JP"/>
                              </w:rPr>
                            </w:pPr>
                            <w:r>
                              <w:rPr>
                                <w:rFonts w:eastAsia="MS Mincho"/>
                                <w:lang w:val="en-US" w:eastAsia="ja-JP"/>
                              </w:rPr>
                              <w:t>Furthermore, the minimum number, as well as the definition, of X and Y ports from the agreement below used to determine the support of frequency selective precoding for Scheme A and B are still undecided.</w:t>
                            </w:r>
                          </w:p>
                          <w:p w14:paraId="07281FC8" w14:textId="77777777" w:rsidR="000D3024" w:rsidRPr="0018474A" w:rsidRDefault="000D3024" w:rsidP="00612B86">
                            <w:pPr>
                              <w:rPr>
                                <w:rFonts w:eastAsia="MS Mincho"/>
                                <w:lang w:val="en-US" w:eastAsia="ja-JP"/>
                              </w:rPr>
                            </w:pPr>
                            <w:r w:rsidRPr="001326FC">
                              <w:rPr>
                                <w:rFonts w:eastAsia="MS Mincho"/>
                                <w:highlight w:val="green"/>
                                <w:u w:val="single"/>
                                <w:lang w:val="en-US" w:eastAsia="ja-JP"/>
                              </w:rPr>
                              <w:t>Agreements</w:t>
                            </w:r>
                            <w:r w:rsidRPr="0018474A">
                              <w:rPr>
                                <w:rFonts w:eastAsia="MS Mincho"/>
                                <w:lang w:val="en-US" w:eastAsia="ja-JP"/>
                              </w:rPr>
                              <w:t>:</w:t>
                            </w:r>
                          </w:p>
                          <w:p w14:paraId="2957F95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F04AB70"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131A9B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494812D7"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0D3024" w:rsidRPr="00BF7642" w:rsidRDefault="000D3024"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E7EFD8" w14:textId="77777777" w:rsidR="000D3024" w:rsidRDefault="000D3024" w:rsidP="00612B86">
                      <w:pPr>
                        <w:pStyle w:val="BodyText"/>
                      </w:pPr>
                      <w:r>
                        <w:t>Agreements from RAN1#88 and RAN1#88bis for UL MIMO codebook structure can be summarized as:</w:t>
                      </w:r>
                    </w:p>
                    <w:p w14:paraId="72E8E039" w14:textId="77777777" w:rsidR="000D3024" w:rsidRPr="00F87FD4" w:rsidRDefault="000D3024" w:rsidP="00612B86">
                      <w:pPr>
                        <w:numPr>
                          <w:ilvl w:val="0"/>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6AEED1BB"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ndication of a</w:t>
                      </w:r>
                      <w:r>
                        <w:rPr>
                          <w:rFonts w:eastAsia="MS Mincho"/>
                          <w:lang w:val="en-US" w:eastAsia="ja-JP"/>
                        </w:rPr>
                        <w:t>n</w:t>
                      </w:r>
                      <w:r w:rsidRPr="00F87FD4">
                        <w:rPr>
                          <w:rFonts w:eastAsia="MS Mincho" w:hint="eastAsia"/>
                          <w:lang w:val="en-US" w:eastAsia="ja-JP"/>
                        </w:rPr>
                        <w:t xml:space="preserve">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66F0E9D8"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4347E780"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No SRI when a single SRS resource is configured</w:t>
                      </w:r>
                    </w:p>
                    <w:p w14:paraId="3888DFC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75FDE40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2821E1B9" w14:textId="77777777" w:rsidR="000D3024" w:rsidRPr="00F87FD4" w:rsidRDefault="000D3024" w:rsidP="00612B86">
                      <w:pPr>
                        <w:numPr>
                          <w:ilvl w:val="1"/>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w:t>
                      </w:r>
                    </w:p>
                    <w:p w14:paraId="36DD2F61" w14:textId="77777777" w:rsidR="000D3024" w:rsidRPr="005A5DBB" w:rsidRDefault="000D3024" w:rsidP="00612B86">
                      <w:pPr>
                        <w:numPr>
                          <w:ilvl w:val="2"/>
                          <w:numId w:val="18"/>
                        </w:numPr>
                        <w:overflowPunct/>
                        <w:autoSpaceDE/>
                        <w:autoSpaceDN/>
                        <w:adjustRightInd/>
                        <w:spacing w:after="0"/>
                        <w:jc w:val="left"/>
                        <w:textAlignment w:val="auto"/>
                        <w:rPr>
                          <w:rFonts w:eastAsia="MS Mincho"/>
                          <w:lang w:val="en-US" w:eastAsia="ja-JP"/>
                        </w:rPr>
                      </w:pPr>
                      <w:r w:rsidRPr="00E24202">
                        <w:rPr>
                          <w:rFonts w:eastAsia="MS Mincho"/>
                          <w:iCs/>
                          <w:lang w:val="en-US" w:eastAsia="ja-JP"/>
                        </w:rPr>
                        <w:t>The TPMI is used to indicate preferred precoder over the SRS ports in the selected SRS resource by the SRI.</w:t>
                      </w:r>
                    </w:p>
                    <w:p w14:paraId="5E6F666A"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72B8E9F7" w14:textId="77777777" w:rsidR="000D3024" w:rsidRPr="00F87FD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3AF4936E" w14:textId="77777777" w:rsidR="000D3024" w:rsidRDefault="000D3024" w:rsidP="00612B86">
                      <w:pPr>
                        <w:numPr>
                          <w:ilvl w:val="2"/>
                          <w:numId w:val="1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53C8AF9D" w14:textId="77777777" w:rsidR="000D3024" w:rsidRPr="00E24202"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 xml:space="preserve">Support indication on selection of multiple SRS resources </w:t>
                      </w:r>
                    </w:p>
                    <w:p w14:paraId="5505ECE8" w14:textId="77777777" w:rsidR="000D3024" w:rsidRPr="00E24202" w:rsidRDefault="000D3024" w:rsidP="00612B86">
                      <w:pPr>
                        <w:numPr>
                          <w:ilvl w:val="2"/>
                          <w:numId w:val="18"/>
                        </w:numPr>
                        <w:overflowPunct/>
                        <w:autoSpaceDE/>
                        <w:autoSpaceDN/>
                        <w:adjustRightInd/>
                        <w:spacing w:after="0"/>
                        <w:jc w:val="left"/>
                        <w:textAlignment w:val="auto"/>
                        <w:rPr>
                          <w:rFonts w:eastAsia="MS Mincho"/>
                          <w:iCs/>
                          <w:lang w:val="en-US" w:eastAsia="ja-JP"/>
                        </w:rPr>
                      </w:pPr>
                      <w:r w:rsidRPr="00E24202">
                        <w:rPr>
                          <w:rFonts w:eastAsia="MS Mincho"/>
                          <w:iCs/>
                          <w:lang w:val="en-US" w:eastAsia="ja-JP"/>
                        </w:rPr>
                        <w:t>FFS details</w:t>
                      </w:r>
                    </w:p>
                    <w:p w14:paraId="5F5E5613" w14:textId="77777777" w:rsidR="000D3024" w:rsidRPr="0074580D" w:rsidRDefault="000D3024" w:rsidP="00612B86">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W</w:t>
                      </w:r>
                      <w:r w:rsidRPr="0074580D">
                        <w:rPr>
                          <w:rFonts w:eastAsia="MS Mincho"/>
                          <w:iCs/>
                          <w:lang w:val="en-US" w:eastAsia="ja-JP"/>
                        </w:rPr>
                        <w:t xml:space="preserve">hen a UE is configured with UL frequency selective precoding and if subband TPMI signaling is supported, support one of the following alternatives: </w:t>
                      </w:r>
                    </w:p>
                    <w:p w14:paraId="4118EFE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 xml:space="preserve">Alt 1:Subband TPMIs are signaled via DCI to the UE only for allocated PRBs for a given PUSCH transmission </w:t>
                      </w:r>
                    </w:p>
                    <w:p w14:paraId="74B8DC1D"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72E14B41"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Other alternatives are not precluded</w:t>
                      </w:r>
                    </w:p>
                    <w:p w14:paraId="4810ED3B"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Note: Subband TPMI may correspond to W2 if dual-stage codebook is supported</w:t>
                      </w:r>
                    </w:p>
                    <w:p w14:paraId="4C69CA92" w14:textId="77777777" w:rsidR="000D3024" w:rsidRPr="0074580D" w:rsidRDefault="000D3024" w:rsidP="00612B86">
                      <w:pPr>
                        <w:numPr>
                          <w:ilvl w:val="1"/>
                          <w:numId w:val="18"/>
                        </w:numPr>
                        <w:overflowPunct/>
                        <w:autoSpaceDE/>
                        <w:autoSpaceDN/>
                        <w:adjustRightInd/>
                        <w:spacing w:after="0"/>
                        <w:jc w:val="left"/>
                        <w:textAlignment w:val="auto"/>
                        <w:rPr>
                          <w:rFonts w:eastAsia="MS Mincho"/>
                          <w:iCs/>
                          <w:lang w:val="en-US" w:eastAsia="ja-JP"/>
                        </w:rPr>
                      </w:pPr>
                      <w:r w:rsidRPr="0074580D">
                        <w:rPr>
                          <w:rFonts w:eastAsia="MS Mincho"/>
                          <w:iCs/>
                          <w:lang w:val="en-US" w:eastAsia="ja-JP"/>
                        </w:rPr>
                        <w:t>FFS whether or not wideband TPMI is always signaled along with subband TPMI</w:t>
                      </w:r>
                    </w:p>
                    <w:p w14:paraId="118D3096" w14:textId="77777777" w:rsidR="000D3024" w:rsidRPr="00F87FD4" w:rsidRDefault="000D3024" w:rsidP="00612B86">
                      <w:pPr>
                        <w:overflowPunct/>
                        <w:autoSpaceDE/>
                        <w:autoSpaceDN/>
                        <w:adjustRightInd/>
                        <w:spacing w:after="0"/>
                        <w:jc w:val="left"/>
                        <w:textAlignment w:val="auto"/>
                        <w:rPr>
                          <w:rFonts w:eastAsia="MS Mincho"/>
                          <w:lang w:val="en-US" w:eastAsia="ja-JP"/>
                        </w:rPr>
                      </w:pPr>
                    </w:p>
                    <w:p w14:paraId="708DB365" w14:textId="77777777" w:rsidR="000D3024" w:rsidRDefault="000D3024" w:rsidP="00612B86">
                      <w:pPr>
                        <w:rPr>
                          <w:rFonts w:eastAsia="MS Mincho"/>
                          <w:lang w:val="en-US" w:eastAsia="ja-JP"/>
                        </w:rPr>
                      </w:pPr>
                      <w:r>
                        <w:rPr>
                          <w:rFonts w:eastAsia="MS Mincho"/>
                          <w:lang w:val="en-US" w:eastAsia="ja-JP"/>
                        </w:rPr>
                        <w:t>Furthermore, the minimum number, as well as the definition, of X and Y ports from the agreement below used to determine the support of frequency selective precoding for Scheme A and B are still undecided.</w:t>
                      </w:r>
                    </w:p>
                    <w:p w14:paraId="07281FC8" w14:textId="77777777" w:rsidR="000D3024" w:rsidRPr="0018474A" w:rsidRDefault="000D3024" w:rsidP="00612B86">
                      <w:pPr>
                        <w:rPr>
                          <w:rFonts w:eastAsia="MS Mincho"/>
                          <w:lang w:val="en-US" w:eastAsia="ja-JP"/>
                        </w:rPr>
                      </w:pPr>
                      <w:r w:rsidRPr="001326FC">
                        <w:rPr>
                          <w:rFonts w:eastAsia="MS Mincho"/>
                          <w:highlight w:val="green"/>
                          <w:u w:val="single"/>
                          <w:lang w:val="en-US" w:eastAsia="ja-JP"/>
                        </w:rPr>
                        <w:t>Agreements</w:t>
                      </w:r>
                      <w:r w:rsidRPr="0018474A">
                        <w:rPr>
                          <w:rFonts w:eastAsia="MS Mincho"/>
                          <w:lang w:val="en-US" w:eastAsia="ja-JP"/>
                        </w:rPr>
                        <w:t>:</w:t>
                      </w:r>
                    </w:p>
                    <w:p w14:paraId="2957F95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2F04AB70"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6131A9B3" w14:textId="77777777" w:rsidR="000D3024" w:rsidRPr="0018474A" w:rsidRDefault="000D3024" w:rsidP="00612B86">
                      <w:pPr>
                        <w:numPr>
                          <w:ilvl w:val="0"/>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494812D7" w14:textId="77777777" w:rsidR="000D3024" w:rsidRPr="0018474A" w:rsidRDefault="000D3024" w:rsidP="00612B86">
                      <w:pPr>
                        <w:numPr>
                          <w:ilvl w:val="1"/>
                          <w:numId w:val="1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0D3024" w:rsidRPr="00BF7642" w:rsidRDefault="000D3024" w:rsidP="00BF7642">
                      <w:pPr>
                        <w:rPr>
                          <w:rFonts w:eastAsia="MS Mincho"/>
                          <w:lang w:val="en-US"/>
                        </w:rPr>
                      </w:pPr>
                    </w:p>
                  </w:txbxContent>
                </v:textbox>
                <w10:anchorlock/>
              </v:shape>
            </w:pict>
          </mc:Fallback>
        </mc:AlternateContent>
      </w:r>
    </w:p>
    <w:p w14:paraId="47FA9D5F" w14:textId="577F7207" w:rsidR="00612B86" w:rsidRDefault="00612B86" w:rsidP="00612B86">
      <w:pPr>
        <w:pStyle w:val="BodyText"/>
      </w:pPr>
      <w:bookmarkStart w:id="0" w:name="_Ref178064866"/>
      <w:r>
        <w:t xml:space="preserve">In this contribution, we discuss a variety of UL MIMO codebook related topics related to the above issues, including definitions of codebook based UL transmission and non-codebook based UL transmission, the design of UL MIMO </w:t>
      </w:r>
      <w:r>
        <w:lastRenderedPageBreak/>
        <w:t>codebooks, the amount of TPMI overhead that may be available to support them, the benefit of frequency selective precoding, whether TPMI should be persistent, and the number of ports and layers UL SU-MIMO and the codebook should be designed for. Simulation results investigating the upper bounds of precoding gains for 2 and 4 ports at 2 and 28 GHz are provided.  In our companion contribution</w:t>
      </w:r>
      <w:r w:rsidR="00C56501">
        <w:t xml:space="preserve"> </w:t>
      </w:r>
      <w:r w:rsidR="00C56501">
        <w:fldChar w:fldCharType="begin"/>
      </w:r>
      <w:r w:rsidR="00C56501">
        <w:instrText xml:space="preserve"> REF _Ref485287417 \n \h </w:instrText>
      </w:r>
      <w:r w:rsidR="00C56501">
        <w:fldChar w:fldCharType="separate"/>
      </w:r>
      <w:r w:rsidR="003E09E3">
        <w:t>[1</w:t>
      </w:r>
      <w:r w:rsidR="003E09E3">
        <w:t>]</w:t>
      </w:r>
      <w:r w:rsidR="00C56501">
        <w:fldChar w:fldCharType="end"/>
      </w:r>
      <w:r>
        <w:t xml:space="preserve"> we further elaborate on Non-codebook based UL transmission.</w:t>
      </w:r>
    </w:p>
    <w:p w14:paraId="3CB8F8BC" w14:textId="77777777" w:rsidR="004000E8" w:rsidRDefault="004000E8" w:rsidP="00CE0424">
      <w:pPr>
        <w:pStyle w:val="Heading1"/>
      </w:pPr>
      <w:r w:rsidRPr="00CE0424">
        <w:t>Discussion</w:t>
      </w:r>
      <w:bookmarkEnd w:id="0"/>
    </w:p>
    <w:p w14:paraId="59D992E4" w14:textId="52EB4853" w:rsidR="00C82578" w:rsidRDefault="00C82578" w:rsidP="00C82578">
      <w:r>
        <w:t xml:space="preserve">Codebook based UL transmission and Non-codebook based UL transmission has been mentioned in previous agreements, but the definition of them has not yet been clarified. This paper aims to define the two transmission schemes and elaborate a bit more in detail about the Non-codebook based UL transmission scheme. The Codebook based UL transmission scheme will be further discussed in </w:t>
      </w:r>
      <w:r w:rsidR="00C56501">
        <w:fldChar w:fldCharType="begin"/>
      </w:r>
      <w:r w:rsidR="00C56501">
        <w:instrText xml:space="preserve"> REF _Ref485287417 \n \h </w:instrText>
      </w:r>
      <w:r w:rsidR="00C56501">
        <w:fldChar w:fldCharType="separate"/>
      </w:r>
      <w:r w:rsidR="003E09E3">
        <w:t>[1]</w:t>
      </w:r>
      <w:r w:rsidR="00C56501">
        <w:fldChar w:fldCharType="end"/>
      </w:r>
      <w:r>
        <w:t xml:space="preserve">. </w:t>
      </w:r>
    </w:p>
    <w:p w14:paraId="0AE50A06" w14:textId="563270D9" w:rsidR="00C82578" w:rsidRDefault="00C82578" w:rsidP="00C82578">
      <w:r>
        <w:t>The main difference between the two UL transmission schemes is that for Codebook based UL transmission TPMI is signalled to the UE while for Non-codebook based UL transmission TPMI is not signalled. Another difference is that for Codebook based UL transmission, no PAs are intended (allowed) to be mapped to more than one SRS port in order to preserve the power amplifier utilization when applying additional precoding over the SRS ports. For non-codebook based UL transmission on the other side, PAs are intended (allowed) to be mapped to multiple SRS ports because no additional precoding will be applied over the SRS ports.</w:t>
      </w:r>
    </w:p>
    <w:p w14:paraId="0FBE4FD0" w14:textId="77777777" w:rsidR="00C82578" w:rsidRDefault="00C82578" w:rsidP="00C82578"/>
    <w:p w14:paraId="1308AAEB" w14:textId="77777777" w:rsidR="00C82578" w:rsidRDefault="00C82578" w:rsidP="00C82578">
      <w:pPr>
        <w:pStyle w:val="Proposal"/>
        <w:tabs>
          <w:tab w:val="num" w:pos="1304"/>
        </w:tabs>
        <w:ind w:left="1304" w:hanging="1304"/>
      </w:pPr>
      <w:bookmarkStart w:id="1" w:name="_Toc485287607"/>
      <w:bookmarkStart w:id="2" w:name="_Toc485287759"/>
      <w:bookmarkStart w:id="3" w:name="_Toc485288058"/>
      <w:bookmarkStart w:id="4" w:name="_Toc485291001"/>
      <w:bookmarkStart w:id="5" w:name="_Toc485291236"/>
      <w:bookmarkStart w:id="6" w:name="_Toc485291265"/>
      <w:bookmarkStart w:id="7" w:name="_Hlk485217979"/>
      <w:bookmarkStart w:id="8" w:name="_Toc485386680"/>
      <w:r>
        <w:t>For Codebook based UL transmission, at least TPMI is signalled back to the UE to determine precoder for UL transmissions.</w:t>
      </w:r>
      <w:bookmarkEnd w:id="1"/>
      <w:bookmarkEnd w:id="2"/>
      <w:bookmarkEnd w:id="3"/>
      <w:bookmarkEnd w:id="4"/>
      <w:bookmarkEnd w:id="5"/>
      <w:bookmarkEnd w:id="6"/>
      <w:bookmarkEnd w:id="8"/>
    </w:p>
    <w:p w14:paraId="4E91B05E" w14:textId="77777777" w:rsidR="00C82578" w:rsidRDefault="00C82578" w:rsidP="00C82578">
      <w:pPr>
        <w:pStyle w:val="Proposal"/>
        <w:tabs>
          <w:tab w:val="num" w:pos="1304"/>
        </w:tabs>
        <w:ind w:left="1304" w:hanging="1304"/>
      </w:pPr>
      <w:bookmarkStart w:id="9" w:name="_Toc485287608"/>
      <w:bookmarkStart w:id="10" w:name="_Toc485287760"/>
      <w:bookmarkStart w:id="11" w:name="_Toc485288059"/>
      <w:bookmarkStart w:id="12" w:name="_Toc485291002"/>
      <w:bookmarkStart w:id="13" w:name="_Toc485291237"/>
      <w:bookmarkStart w:id="14" w:name="_Toc485291266"/>
      <w:bookmarkStart w:id="15" w:name="_Toc485386681"/>
      <w:r>
        <w:t>For Non-codebook based UL transmission, no TPMI is signalled back to the UE, instead SRI(s) will signalled back to the UE to determine precoder for UL transmissions.</w:t>
      </w:r>
      <w:bookmarkEnd w:id="9"/>
      <w:bookmarkEnd w:id="10"/>
      <w:bookmarkEnd w:id="11"/>
      <w:bookmarkEnd w:id="12"/>
      <w:bookmarkEnd w:id="13"/>
      <w:bookmarkEnd w:id="14"/>
      <w:bookmarkEnd w:id="15"/>
    </w:p>
    <w:bookmarkEnd w:id="7"/>
    <w:p w14:paraId="683BCD27" w14:textId="77777777" w:rsidR="00612B86" w:rsidRDefault="00612B86" w:rsidP="00612B86"/>
    <w:p w14:paraId="593A3439" w14:textId="77777777" w:rsidR="00612B86" w:rsidRDefault="00612B86" w:rsidP="00612B86">
      <w:pPr>
        <w:pStyle w:val="Heading2"/>
      </w:pPr>
      <w:r>
        <w:t>Wideband and frequency selective TPMI</w:t>
      </w:r>
    </w:p>
    <w:p w14:paraId="28F24D7E" w14:textId="77777777" w:rsidR="00612B86" w:rsidRPr="00987D3D" w:rsidRDefault="00612B86" w:rsidP="00612B86">
      <w:r>
        <w:t>The primary driver for TPMI overhead is whether wideband or frequency selective TPMI is supported.  Therefore, we first examine what TPMI overhead might be reasonably carried in PDCCH and then consider upper bounds on what gain might be possible from frequency selective precoding.</w:t>
      </w:r>
    </w:p>
    <w:p w14:paraId="7293ABFE" w14:textId="77777777" w:rsidR="00612B86" w:rsidRDefault="00612B86" w:rsidP="00612B86">
      <w:pPr>
        <w:pStyle w:val="Heading3"/>
        <w:rPr>
          <w:lang w:val="en-US"/>
        </w:rPr>
      </w:pPr>
      <w:r>
        <w:rPr>
          <w:lang w:val="en-US"/>
        </w:rPr>
        <w:t>TPMI overhead considerations</w:t>
      </w:r>
    </w:p>
    <w:p w14:paraId="263A2B95" w14:textId="77777777" w:rsidR="00612B86" w:rsidRDefault="00612B86" w:rsidP="00612B86">
      <w:pPr>
        <w:overflowPunct/>
        <w:autoSpaceDE/>
        <w:autoSpaceDN/>
        <w:adjustRightInd/>
        <w:spacing w:after="0"/>
        <w:jc w:val="left"/>
        <w:textAlignment w:val="auto"/>
        <w:rPr>
          <w:iCs/>
          <w:lang w:val="en-US"/>
        </w:rPr>
      </w:pPr>
      <w:r>
        <w:rPr>
          <w:iCs/>
          <w:lang w:val="en-US"/>
        </w:rPr>
        <w:t xml:space="preserve">Signaling to support codebook based frequency selective precoding on uplink and downlink are fundamentally different.  In the downlink, TPMI signaling can be avoided, since the UE can determine the effective channel by measuring DMRS.  However, in codebook based UL MIMO, the UE must be aware of the precoding desired by the gNB, and so must be signaled with TPMI.  </w:t>
      </w:r>
    </w:p>
    <w:p w14:paraId="20A6B3CB" w14:textId="77777777" w:rsidR="00612B86" w:rsidRDefault="00612B86" w:rsidP="00612B86">
      <w:pPr>
        <w:overflowPunct/>
        <w:autoSpaceDE/>
        <w:autoSpaceDN/>
        <w:adjustRightInd/>
        <w:spacing w:after="0"/>
        <w:jc w:val="left"/>
        <w:textAlignment w:val="auto"/>
        <w:rPr>
          <w:iCs/>
          <w:lang w:val="en-US"/>
        </w:rPr>
      </w:pPr>
    </w:p>
    <w:p w14:paraId="364C4338" w14:textId="682A7D74" w:rsidR="00612B86" w:rsidRDefault="00612B86" w:rsidP="00612B86">
      <w:pPr>
        <w:overflowPunct/>
        <w:autoSpaceDE/>
        <w:autoSpaceDN/>
        <w:adjustRightInd/>
        <w:spacing w:after="0"/>
        <w:jc w:val="left"/>
        <w:textAlignment w:val="auto"/>
        <w:rPr>
          <w:iCs/>
          <w:lang w:val="en-US"/>
        </w:rPr>
      </w:pPr>
      <w:r>
        <w:rPr>
          <w:iCs/>
          <w:lang w:val="en-US"/>
        </w:rPr>
        <w:t>A second difference between uplink and downlink precoding is that UCI payloads can be a wide variety of sizes, while a UE is configured for only a small number of DCI formats with fixed sizes. Therefore</w:t>
      </w:r>
      <w:r w:rsidR="00681292">
        <w:rPr>
          <w:iCs/>
          <w:lang w:val="en-US"/>
        </w:rPr>
        <w:t>,</w:t>
      </w:r>
      <w:r>
        <w:rPr>
          <w:iCs/>
          <w:lang w:val="en-US"/>
        </w:rPr>
        <w:t xml:space="preserve"> PMI for DL MIMO can have a wide variety of sizes, while TPMI for UL MIMO should preferably have a fixed size.  We note that two stage DCI signaling is possible to carry additional overhead, but such two stage designs would significantly complicate NR control signaling in general, and in our view are not preferred in at least a first version of NR.</w:t>
      </w:r>
    </w:p>
    <w:p w14:paraId="26BB9855" w14:textId="77777777" w:rsidR="00612B86" w:rsidRDefault="00612B86" w:rsidP="00612B86">
      <w:pPr>
        <w:overflowPunct/>
        <w:autoSpaceDE/>
        <w:autoSpaceDN/>
        <w:adjustRightInd/>
        <w:spacing w:after="0"/>
        <w:jc w:val="left"/>
        <w:textAlignment w:val="auto"/>
        <w:rPr>
          <w:iCs/>
          <w:lang w:val="en-US"/>
        </w:rPr>
      </w:pPr>
    </w:p>
    <w:p w14:paraId="05CFB851" w14:textId="77777777" w:rsidR="00612B86" w:rsidRDefault="00612B86" w:rsidP="00612B86">
      <w:pPr>
        <w:overflowPunct/>
        <w:autoSpaceDE/>
        <w:autoSpaceDN/>
        <w:adjustRightInd/>
        <w:spacing w:after="0"/>
        <w:jc w:val="left"/>
        <w:textAlignment w:val="auto"/>
        <w:rPr>
          <w:iCs/>
          <w:lang w:val="en-US"/>
        </w:rPr>
      </w:pPr>
      <w:r>
        <w:rPr>
          <w:iCs/>
          <w:lang w:val="en-US"/>
        </w:rPr>
        <w:t xml:space="preserve">Another difference is that UCI can be carried on a wide variety of PUCCH formats as well as PUSCH, which allows UCI to adapt according to coverage requirements.  While PDCCH supports compact and larger DCI formats to allow for different coverage conditions, there is considerably less flexibility.  </w:t>
      </w:r>
    </w:p>
    <w:p w14:paraId="0CDEC130" w14:textId="77777777" w:rsidR="00612B86" w:rsidRDefault="00612B86" w:rsidP="00612B86">
      <w:pPr>
        <w:overflowPunct/>
        <w:autoSpaceDE/>
        <w:autoSpaceDN/>
        <w:adjustRightInd/>
        <w:spacing w:after="0"/>
        <w:jc w:val="left"/>
        <w:textAlignment w:val="auto"/>
        <w:rPr>
          <w:iCs/>
          <w:lang w:val="en-US"/>
        </w:rPr>
      </w:pPr>
    </w:p>
    <w:p w14:paraId="58A60608" w14:textId="3EDBCD66" w:rsidR="00612B86" w:rsidRDefault="00612B86" w:rsidP="00612B86">
      <w:pPr>
        <w:overflowPunct/>
        <w:autoSpaceDE/>
        <w:autoSpaceDN/>
        <w:adjustRightInd/>
        <w:spacing w:after="0"/>
        <w:jc w:val="left"/>
        <w:textAlignment w:val="auto"/>
        <w:rPr>
          <w:iCs/>
          <w:lang w:val="en-US"/>
        </w:rPr>
      </w:pPr>
      <w:r>
        <w:rPr>
          <w:iCs/>
          <w:lang w:val="en-US"/>
        </w:rPr>
        <w:t xml:space="preserve">A final observation is that NR PDCCH should have the same coverage as LTE PDCCH, and therefore the format sizes should be similar. This can be used as a rough guide for TPMI sizes for NR UL MIMO. We note that up to 6 bits are used for 4 Tx precoding and rank indication and that 5 bits are used for MCS of a second transport block, with 1 bit for a new data indicator. Therefore, a total of 11 bits for all of TPMI, SRI, and RI would have a consistent amount of overhead relative to LTE with respect to UL MIMO operation.  </w:t>
      </w:r>
    </w:p>
    <w:p w14:paraId="74425890" w14:textId="77777777" w:rsidR="00612B86" w:rsidRDefault="00612B86" w:rsidP="00612B86">
      <w:pPr>
        <w:overflowPunct/>
        <w:autoSpaceDE/>
        <w:autoSpaceDN/>
        <w:adjustRightInd/>
        <w:spacing w:after="0"/>
        <w:jc w:val="left"/>
        <w:textAlignment w:val="auto"/>
        <w:rPr>
          <w:iCs/>
          <w:lang w:val="en-US"/>
        </w:rPr>
      </w:pPr>
    </w:p>
    <w:p w14:paraId="304C8F97" w14:textId="77777777" w:rsidR="00612B86" w:rsidRPr="009475B4" w:rsidRDefault="00612B86" w:rsidP="00612B86">
      <w:pPr>
        <w:pStyle w:val="Observation"/>
        <w:rPr>
          <w:lang w:val="en-US"/>
        </w:rPr>
      </w:pPr>
      <w:bookmarkStart w:id="16" w:name="_Toc485386671"/>
      <w:r>
        <w:rPr>
          <w:lang w:val="en-US"/>
        </w:rPr>
        <w:t>Roughly 10 DCI bits for all of TPMI, SRI, and RI can be used as a starting point for NR UL MIMO codebook design</w:t>
      </w:r>
      <w:bookmarkEnd w:id="16"/>
    </w:p>
    <w:p w14:paraId="042D5054" w14:textId="77777777" w:rsidR="00612B86" w:rsidRDefault="00612B86" w:rsidP="00612B86">
      <w:pPr>
        <w:pStyle w:val="Heading3"/>
      </w:pPr>
      <w:r>
        <w:t>Performance of wideband and subband TPMI</w:t>
      </w:r>
    </w:p>
    <w:p w14:paraId="596F4A08" w14:textId="3B6C6B53" w:rsidR="00612B86" w:rsidRDefault="00612B86" w:rsidP="00612B86">
      <w:r>
        <w:t xml:space="preserve">The number of bits needed for frequency selective TPMI tends to be proportionate to the number of subbands.  In this section, we present high level simulation results comparing the ideal array gains of rank 1 subband TPMI-based transmission to that using wideband transmission. The upper and lower bound performances are evaluated by ideal closed loop (CL) MIMO based on the SVD of subband correlation matrices and an ideal transmit diversity (TXD) scheme. For a performance comparison, we also evaluated the Rel.8 codebook and an example codebook with non-constant modulus elements.  Rank 1 precoding is used, since this is where the greatest gains tend to be, and so can serve as an initial check on the merits of subband TPMI.  The plots shown in this contribution are obtained by using the channel realizations extracted from the system-level simulators with the 3GPP evaluation assumptions to model a single link. Therefore, system level considerations such as </w:t>
      </w:r>
      <w:r w:rsidR="00FF4D36">
        <w:t>inter-UE interference</w:t>
      </w:r>
      <w:r>
        <w:t xml:space="preserve"> are not captured in our performance comparison. Ideal channel estimation is used.  Consequently, the results can be considered as upper bounds on the gains of frequency selective precoding.</w:t>
      </w:r>
      <w:r w:rsidR="00A63562">
        <w:t xml:space="preserve"> Unlike the simulation results presented in </w:t>
      </w:r>
      <w:r w:rsidR="00A63562">
        <w:fldChar w:fldCharType="begin"/>
      </w:r>
      <w:r w:rsidR="00A63562">
        <w:instrText xml:space="preserve"> REF _Ref485288266 \n \h </w:instrText>
      </w:r>
      <w:r w:rsidR="00A63562">
        <w:fldChar w:fldCharType="separate"/>
      </w:r>
      <w:r w:rsidR="003E09E3">
        <w:t>[2</w:t>
      </w:r>
      <w:r w:rsidR="003E09E3">
        <w:t>]</w:t>
      </w:r>
      <w:r w:rsidR="00A63562">
        <w:fldChar w:fldCharType="end"/>
      </w:r>
      <w:r w:rsidR="00A63562">
        <w:t xml:space="preserve">, in this paper we </w:t>
      </w:r>
      <w:r w:rsidR="002936F3">
        <w:t xml:space="preserve">present the simulation results for </w:t>
      </w:r>
      <w:r w:rsidR="00A63562">
        <w:t>UEs equipped with multi-panels.</w:t>
      </w:r>
      <w:r w:rsidR="002936F3">
        <w:t xml:space="preserve"> Two (four) UE antennas are implemented as two (four) single-port panels to transmit signals from different angles, i.e., at the angles of 0 degree and 180 degree (0 degree, 90 degree, 180 degree and 270 degree) in azimuth. </w:t>
      </w:r>
    </w:p>
    <w:p w14:paraId="1D77F27E" w14:textId="2B6E175B" w:rsidR="00612B86" w:rsidRDefault="00612B86" w:rsidP="00612B86">
      <w:r w:rsidRPr="00783C8E">
        <w:t xml:space="preserve">In </w:t>
      </w:r>
      <w:r>
        <w:t>Fi</w:t>
      </w:r>
      <w:r w:rsidRPr="00783C8E">
        <w:t xml:space="preserve">gure </w:t>
      </w:r>
      <w:r>
        <w:t>1,</w:t>
      </w:r>
      <w:r w:rsidRPr="00783C8E">
        <w:t xml:space="preserve"> we show our evaluation results for rank 1 transmission</w:t>
      </w:r>
      <w:r w:rsidR="00EF45CD">
        <w:t xml:space="preserve"> </w:t>
      </w:r>
      <w:r w:rsidRPr="00783C8E">
        <w:t xml:space="preserve">over 2 </w:t>
      </w:r>
      <w:r w:rsidR="00A63562">
        <w:t>one-</w:t>
      </w:r>
      <w:r w:rsidRPr="00783C8E">
        <w:t>port</w:t>
      </w:r>
      <w:r w:rsidR="00A63562">
        <w:t xml:space="preserve"> panels w</w:t>
      </w:r>
      <w:r>
        <w:t>ith</w:t>
      </w:r>
      <w:r w:rsidR="006538D3">
        <w:t xml:space="preserve"> a</w:t>
      </w:r>
      <w:r>
        <w:t xml:space="preserve"> channel bandwidth of 10MHz </w:t>
      </w:r>
      <w:r w:rsidRPr="00783C8E">
        <w:t>at the frequenc</w:t>
      </w:r>
      <w:r w:rsidR="00A63562">
        <w:t>y of</w:t>
      </w:r>
      <w:r w:rsidRPr="00783C8E">
        <w:t xml:space="preserve"> 28GHz. In these simulations, </w:t>
      </w:r>
      <w:r w:rsidR="00761D64">
        <w:t>three</w:t>
      </w:r>
      <w:r w:rsidR="00761D64" w:rsidRPr="00783C8E">
        <w:t xml:space="preserve"> </w:t>
      </w:r>
      <w:r w:rsidRPr="00783C8E">
        <w:t>different subband sizes are compared</w:t>
      </w:r>
      <w:r>
        <w:t xml:space="preserve">, namely 1 PRB and </w:t>
      </w:r>
      <w:r w:rsidR="00BD44FA">
        <w:t xml:space="preserve">12 </w:t>
      </w:r>
      <w:r>
        <w:t>PRBs per subband in addition to the wideband transmission, assuming 48 PRBs in total, which is depicted in different curves in the same colo</w:t>
      </w:r>
      <w:r w:rsidR="002936F3">
        <w:t>u</w:t>
      </w:r>
      <w:r>
        <w:t xml:space="preserve">r in the figures. </w:t>
      </w:r>
    </w:p>
    <w:p w14:paraId="1D9EA098" w14:textId="487EF154" w:rsidR="00612B86" w:rsidRDefault="00612B86" w:rsidP="00612B86">
      <w:r>
        <w:t>From these results, we observe that the maximum (essentially theoretical) gain up to 0.</w:t>
      </w:r>
      <w:r w:rsidR="00463B4B">
        <w:t>4</w:t>
      </w:r>
      <w:r w:rsidR="00EF45CD">
        <w:t xml:space="preserve"> </w:t>
      </w:r>
      <w:r>
        <w:t xml:space="preserve">dB is achievable by </w:t>
      </w:r>
      <w:r w:rsidR="00EF45CD">
        <w:t xml:space="preserve">the </w:t>
      </w:r>
      <w:r>
        <w:t xml:space="preserve">subband TPMI-based transmission </w:t>
      </w:r>
      <w:r w:rsidR="00EF45CD">
        <w:t xml:space="preserve">with one PRB </w:t>
      </w:r>
      <w:r w:rsidR="006538D3">
        <w:t xml:space="preserve">per </w:t>
      </w:r>
      <w:r w:rsidR="00EF45CD">
        <w:t xml:space="preserve">subband </w:t>
      </w:r>
      <w:r>
        <w:t xml:space="preserve">over </w:t>
      </w:r>
      <w:r w:rsidR="00EF45CD">
        <w:t xml:space="preserve">the </w:t>
      </w:r>
      <w:r>
        <w:t>wideband transmission.  More realistic numbers of subbands, such as 4 subbands, produce on the order of 0.</w:t>
      </w:r>
      <w:r w:rsidR="00463B4B">
        <w:t>15</w:t>
      </w:r>
      <w:r>
        <w:t xml:space="preserve"> dB median gain.  </w:t>
      </w:r>
    </w:p>
    <w:p w14:paraId="6983B25F" w14:textId="2416DC41" w:rsidR="00612B86" w:rsidRDefault="00612B86" w:rsidP="00612B86">
      <w:r>
        <w:t xml:space="preserve">Comparing codebooks, it can be seen that the example codebook tends to notably outperform the Rel-8 codebook, often having a median gain that is on the order of </w:t>
      </w:r>
      <w:r w:rsidR="00EF45CD">
        <w:t>1</w:t>
      </w:r>
      <w:r>
        <w:t>.</w:t>
      </w:r>
      <w:r w:rsidR="00EF45CD">
        <w:t>0dB</w:t>
      </w:r>
      <w:r>
        <w:t>.  The wideband example codebook with an overhead of 3 bits actually outperform</w:t>
      </w:r>
      <w:r w:rsidR="00EF45CD">
        <w:t>s</w:t>
      </w:r>
      <w:r>
        <w:t xml:space="preserve"> the Rel-8 codebook even when the Rel-8 codebook uses</w:t>
      </w:r>
      <w:r w:rsidR="006538D3">
        <w:t xml:space="preserve"> many more bits (with per subband TPMI)</w:t>
      </w:r>
      <w:r>
        <w:t xml:space="preserve">.   We expect the gains of the example codebook are largely due to its use of non-constant modulus elements, and so conclude that a larger codebook with non-constant modulus elements may be a better performing solution than using more subbands with a Rel-8 (constant modulus) codebook. </w:t>
      </w:r>
      <w:r w:rsidR="00E02BA4">
        <w:t>This is particularly true for millimetre wave cases, since the directivity of the different panels can lead to widely varying received power levels at gNB from the panels.</w:t>
      </w:r>
    </w:p>
    <w:p w14:paraId="7C5EC777" w14:textId="06832026" w:rsidR="00612B86" w:rsidRDefault="00BD44FA" w:rsidP="00612B86">
      <w:pPr>
        <w:jc w:val="center"/>
      </w:pPr>
      <w:r w:rsidRPr="00BD44FA">
        <w:rPr>
          <w:noProof/>
          <w:lang w:val="en-US" w:eastAsia="en-US"/>
        </w:rPr>
        <w:drawing>
          <wp:inline distT="0" distB="0" distL="0" distR="0" wp14:anchorId="75ECE5B7" wp14:editId="1C115FF7">
            <wp:extent cx="2909884" cy="217955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7647" cy="2185365"/>
                    </a:xfrm>
                    <a:prstGeom prst="rect">
                      <a:avLst/>
                    </a:prstGeom>
                    <a:noFill/>
                    <a:ln>
                      <a:noFill/>
                    </a:ln>
                  </pic:spPr>
                </pic:pic>
              </a:graphicData>
            </a:graphic>
          </wp:inline>
        </w:drawing>
      </w:r>
      <w:r w:rsidRPr="00BD44FA" w:rsidDel="00D17064">
        <w:t xml:space="preserve"> </w:t>
      </w:r>
      <w:r w:rsidRPr="00BD44FA">
        <w:rPr>
          <w:noProof/>
          <w:lang w:val="en-US" w:eastAsia="en-US"/>
        </w:rPr>
        <w:drawing>
          <wp:inline distT="0" distB="0" distL="0" distR="0" wp14:anchorId="7CC7B627" wp14:editId="6A7E6E92">
            <wp:extent cx="2961914" cy="22185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8970" cy="2223808"/>
                    </a:xfrm>
                    <a:prstGeom prst="rect">
                      <a:avLst/>
                    </a:prstGeom>
                    <a:noFill/>
                    <a:ln>
                      <a:noFill/>
                    </a:ln>
                  </pic:spPr>
                </pic:pic>
              </a:graphicData>
            </a:graphic>
          </wp:inline>
        </w:drawing>
      </w:r>
    </w:p>
    <w:p w14:paraId="5B172214" w14:textId="65695688" w:rsidR="00612B86" w:rsidRDefault="00612B86" w:rsidP="00612B86">
      <w:pPr>
        <w:pStyle w:val="Caption"/>
        <w:ind w:firstLine="567"/>
        <w:jc w:val="left"/>
      </w:pPr>
      <w:r>
        <w:t xml:space="preserve">Figure </w:t>
      </w:r>
      <w:r>
        <w:fldChar w:fldCharType="begin"/>
      </w:r>
      <w:r>
        <w:instrText xml:space="preserve"> SEQ Figure \* ARABIC </w:instrText>
      </w:r>
      <w:r>
        <w:fldChar w:fldCharType="separate"/>
      </w:r>
      <w:r w:rsidR="003E09E3">
        <w:rPr>
          <w:noProof/>
        </w:rPr>
        <w:t>1</w:t>
      </w:r>
      <w:r>
        <w:fldChar w:fldCharType="end"/>
      </w:r>
      <w:r>
        <w:t xml:space="preserve"> Performance Comparison in terms of achievable channel gains between different transmit schemes and different codebooks</w:t>
      </w:r>
      <w:r>
        <w:tab/>
        <w:t xml:space="preserve">for rank1 transmission over 2 </w:t>
      </w:r>
      <w:r w:rsidR="00D17064">
        <w:t>one-</w:t>
      </w:r>
      <w:r>
        <w:t>port</w:t>
      </w:r>
      <w:r w:rsidR="00D17064">
        <w:t xml:space="preserve"> panels</w:t>
      </w:r>
      <w:r>
        <w:t xml:space="preserve"> at frequency 2</w:t>
      </w:r>
      <w:r w:rsidR="00D17064">
        <w:t>8</w:t>
      </w:r>
      <w:r>
        <w:t xml:space="preserve"> GHz</w:t>
      </w:r>
    </w:p>
    <w:p w14:paraId="2183513A" w14:textId="3AF88FAD" w:rsidR="00612B86" w:rsidRPr="00E02BA4" w:rsidRDefault="00463B4B" w:rsidP="00612B86">
      <w:pPr>
        <w:jc w:val="center"/>
        <w:rPr>
          <w:lang w:val="en-US"/>
        </w:rPr>
      </w:pPr>
      <w:r w:rsidRPr="00463B4B">
        <w:rPr>
          <w:noProof/>
          <w:lang w:val="en-US" w:eastAsia="en-US"/>
        </w:rPr>
        <w:lastRenderedPageBreak/>
        <w:drawing>
          <wp:inline distT="0" distB="0" distL="0" distR="0" wp14:anchorId="68EFFEAD" wp14:editId="59B83522">
            <wp:extent cx="2914022" cy="2182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313" cy="2186613"/>
                    </a:xfrm>
                    <a:prstGeom prst="rect">
                      <a:avLst/>
                    </a:prstGeom>
                    <a:noFill/>
                    <a:ln>
                      <a:noFill/>
                    </a:ln>
                  </pic:spPr>
                </pic:pic>
              </a:graphicData>
            </a:graphic>
          </wp:inline>
        </w:drawing>
      </w:r>
      <w:r w:rsidR="00991263" w:rsidRPr="00991263" w:rsidDel="00991263">
        <w:t xml:space="preserve"> </w:t>
      </w:r>
      <w:r w:rsidRPr="00463B4B">
        <w:rPr>
          <w:noProof/>
          <w:lang w:val="en-US" w:eastAsia="en-US"/>
        </w:rPr>
        <w:drawing>
          <wp:inline distT="0" distB="0" distL="0" distR="0" wp14:anchorId="46BFD242" wp14:editId="6D72DCC7">
            <wp:extent cx="2937519" cy="220024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3513" cy="2204738"/>
                    </a:xfrm>
                    <a:prstGeom prst="rect">
                      <a:avLst/>
                    </a:prstGeom>
                    <a:noFill/>
                    <a:ln>
                      <a:noFill/>
                    </a:ln>
                  </pic:spPr>
                </pic:pic>
              </a:graphicData>
            </a:graphic>
          </wp:inline>
        </w:drawing>
      </w:r>
    </w:p>
    <w:p w14:paraId="45CFF07E" w14:textId="202B8CDF" w:rsidR="00612B86" w:rsidRDefault="00612B86" w:rsidP="00612B86">
      <w:pPr>
        <w:pStyle w:val="Caption"/>
        <w:ind w:firstLine="567"/>
        <w:jc w:val="left"/>
      </w:pPr>
      <w:r>
        <w:t xml:space="preserve">Figure 2 Performance Comparison in terms of achievable channel gains between different transmit schemes and different codebooks for rank1 transmission over </w:t>
      </w:r>
      <w:r w:rsidR="00D17064">
        <w:t xml:space="preserve">4 one-port panels </w:t>
      </w:r>
      <w:r>
        <w:t>at frequency 28 GHz</w:t>
      </w:r>
    </w:p>
    <w:p w14:paraId="0EC144A5" w14:textId="6EEB665D" w:rsidR="00612B86" w:rsidRDefault="00612B86" w:rsidP="00612B86">
      <w:r>
        <w:t xml:space="preserve">The simulation results for rank-1 transmission over 4 </w:t>
      </w:r>
      <w:r w:rsidR="00EF45CD">
        <w:t>one-</w:t>
      </w:r>
      <w:r>
        <w:t xml:space="preserve">port </w:t>
      </w:r>
      <w:r w:rsidR="00EF45CD">
        <w:t xml:space="preserve">panels </w:t>
      </w:r>
      <w:r>
        <w:t xml:space="preserve">are provided in Figure </w:t>
      </w:r>
      <w:r w:rsidR="00EF45CD">
        <w:t>2.</w:t>
      </w:r>
      <w:r>
        <w:t xml:space="preserve"> Similar observations can be made for these </w:t>
      </w:r>
      <w:r w:rsidR="00EF45CD">
        <w:t>4 one-port panels</w:t>
      </w:r>
      <w:r>
        <w:t>.  In particular, we see that the gain from practical numbers of subbands in frequency selective precoding is again a few tenths dB. However, since 4 port codebooks are larger than 2 port codebooks, TPMI overhead for 4 port subband precoding to reach the same gains as for 2 port subband precoding is much larger.  Therefore, subband TPMI seems less motivated for 4 ports than for 2 ports.</w:t>
      </w:r>
    </w:p>
    <w:p w14:paraId="27731714" w14:textId="77777777" w:rsidR="00612B86" w:rsidRPr="00303959" w:rsidRDefault="00612B86" w:rsidP="00612B86"/>
    <w:p w14:paraId="4A1667F9" w14:textId="28BD8A6C" w:rsidR="00612B86" w:rsidRDefault="00612B86" w:rsidP="00612B86">
      <w:pPr>
        <w:pStyle w:val="Observation"/>
      </w:pPr>
      <w:bookmarkStart w:id="17" w:name="_Toc485287595"/>
      <w:bookmarkStart w:id="18" w:name="_Toc485287747"/>
      <w:bookmarkStart w:id="19" w:name="_Toc485288046"/>
      <w:bookmarkStart w:id="20" w:name="_Toc485290989"/>
      <w:bookmarkStart w:id="21" w:name="_Toc485291224"/>
      <w:bookmarkStart w:id="22" w:name="_Toc485291253"/>
      <w:bookmarkStart w:id="23" w:name="_Toc485287596"/>
      <w:bookmarkStart w:id="24" w:name="_Toc485287748"/>
      <w:bookmarkStart w:id="25" w:name="_Toc485288047"/>
      <w:bookmarkStart w:id="26" w:name="_Toc485290990"/>
      <w:bookmarkStart w:id="27" w:name="_Toc485291225"/>
      <w:bookmarkStart w:id="28" w:name="_Toc485291254"/>
      <w:bookmarkStart w:id="29" w:name="_Toc485287597"/>
      <w:bookmarkStart w:id="30" w:name="_Toc485287749"/>
      <w:bookmarkStart w:id="31" w:name="_Toc485288048"/>
      <w:bookmarkStart w:id="32" w:name="_Toc485290991"/>
      <w:bookmarkStart w:id="33" w:name="_Toc485291226"/>
      <w:bookmarkStart w:id="34" w:name="_Toc485291255"/>
      <w:bookmarkStart w:id="35" w:name="_Toc485287598"/>
      <w:bookmarkStart w:id="36" w:name="_Toc485287750"/>
      <w:bookmarkStart w:id="37" w:name="_Toc485288049"/>
      <w:bookmarkStart w:id="38" w:name="_Toc485290992"/>
      <w:bookmarkStart w:id="39" w:name="_Toc485291227"/>
      <w:bookmarkStart w:id="40" w:name="_Toc485291256"/>
      <w:bookmarkStart w:id="41" w:name="_Toc48538667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Gains from subband TPMI with practical numbers of bits in realistic channels may be modest.   For example, for both 2 and 4 ports at 28 GHz, we observed on the order of </w:t>
      </w:r>
      <w:r w:rsidRPr="00C41AC6">
        <w:t>0.1</w:t>
      </w:r>
      <w:r>
        <w:t>5</w:t>
      </w:r>
      <w:r w:rsidRPr="00C41AC6">
        <w:t>-0.3</w:t>
      </w:r>
      <w:r>
        <w:t xml:space="preserve"> dB median gain in UMa.</w:t>
      </w:r>
      <w:bookmarkEnd w:id="41"/>
    </w:p>
    <w:p w14:paraId="589FA661" w14:textId="12BB07A4" w:rsidR="00612B86" w:rsidRDefault="00612B86" w:rsidP="00612B86">
      <w:pPr>
        <w:pStyle w:val="Observation"/>
      </w:pPr>
      <w:bookmarkStart w:id="42" w:name="_Toc485386673"/>
      <w:r>
        <w:t xml:space="preserve">Increasing codebook size and using non-constant modulus elements can provide </w:t>
      </w:r>
      <w:r w:rsidR="007B7FF0">
        <w:t xml:space="preserve">substantially </w:t>
      </w:r>
      <w:r>
        <w:t>better gains than increasing subband size</w:t>
      </w:r>
      <w:r w:rsidR="00D749FD">
        <w:t xml:space="preserve"> in multi-panel UEs</w:t>
      </w:r>
      <w:r>
        <w:t>.</w:t>
      </w:r>
      <w:bookmarkEnd w:id="42"/>
    </w:p>
    <w:p w14:paraId="7FBEB8CB" w14:textId="77777777" w:rsidR="00612B86" w:rsidRDefault="00612B86" w:rsidP="00612B86">
      <w:r>
        <w:t>Based on the simulation results presented in this contribution, we propose the following</w:t>
      </w:r>
    </w:p>
    <w:p w14:paraId="52C4309E" w14:textId="77777777" w:rsidR="00612B86" w:rsidRDefault="00612B86" w:rsidP="00612B86">
      <w:pPr>
        <w:pStyle w:val="Proposal"/>
        <w:tabs>
          <w:tab w:val="num" w:pos="1304"/>
        </w:tabs>
        <w:ind w:left="1304" w:hanging="1304"/>
      </w:pPr>
      <w:bookmarkStart w:id="43" w:name="_Toc481744760"/>
      <w:bookmarkStart w:id="44" w:name="_Toc481755636"/>
      <w:bookmarkStart w:id="45" w:name="_Toc481755897"/>
      <w:bookmarkStart w:id="46" w:name="_Toc481756483"/>
      <w:bookmarkStart w:id="47" w:name="_Toc481756657"/>
      <w:bookmarkStart w:id="48" w:name="_Toc481756685"/>
      <w:bookmarkStart w:id="49" w:name="_Toc485287609"/>
      <w:bookmarkStart w:id="50" w:name="_Toc485287761"/>
      <w:bookmarkStart w:id="51" w:name="_Toc485288060"/>
      <w:bookmarkStart w:id="52" w:name="_Toc485291003"/>
      <w:bookmarkStart w:id="53" w:name="_Toc485291238"/>
      <w:bookmarkStart w:id="54" w:name="_Toc485291267"/>
      <w:bookmarkStart w:id="55" w:name="_Toc485386682"/>
      <w:r>
        <w:t>W</w:t>
      </w:r>
      <w:r w:rsidRPr="00783C8E">
        <w:t>hether subband TPMI is needed is FFS</w:t>
      </w:r>
      <w:bookmarkEnd w:id="43"/>
      <w:bookmarkEnd w:id="44"/>
      <w:bookmarkEnd w:id="45"/>
      <w:bookmarkEnd w:id="46"/>
      <w:bookmarkEnd w:id="47"/>
      <w:bookmarkEnd w:id="48"/>
      <w:bookmarkEnd w:id="49"/>
      <w:bookmarkEnd w:id="50"/>
      <w:bookmarkEnd w:id="51"/>
      <w:bookmarkEnd w:id="52"/>
      <w:bookmarkEnd w:id="53"/>
      <w:bookmarkEnd w:id="54"/>
      <w:bookmarkEnd w:id="55"/>
      <w:r w:rsidRPr="00783C8E">
        <w:t xml:space="preserve"> </w:t>
      </w:r>
    </w:p>
    <w:p w14:paraId="4B89F464" w14:textId="77777777" w:rsidR="00612B86" w:rsidRDefault="00612B86" w:rsidP="00612B86">
      <w:pPr>
        <w:pStyle w:val="Proposal"/>
        <w:tabs>
          <w:tab w:val="num" w:pos="1304"/>
        </w:tabs>
        <w:ind w:left="1304" w:hanging="1304"/>
      </w:pPr>
      <w:bookmarkStart w:id="56" w:name="_Toc481755637"/>
      <w:bookmarkStart w:id="57" w:name="_Toc481755898"/>
      <w:bookmarkStart w:id="58" w:name="_Toc481756484"/>
      <w:bookmarkStart w:id="59" w:name="_Toc481756658"/>
      <w:bookmarkStart w:id="60" w:name="_Toc481756686"/>
      <w:bookmarkStart w:id="61" w:name="_Toc485287610"/>
      <w:bookmarkStart w:id="62" w:name="_Toc485287762"/>
      <w:bookmarkStart w:id="63" w:name="_Toc485288061"/>
      <w:bookmarkStart w:id="64" w:name="_Toc485291004"/>
      <w:bookmarkStart w:id="65" w:name="_Toc485291239"/>
      <w:bookmarkStart w:id="66" w:name="_Toc485291268"/>
      <w:bookmarkStart w:id="67" w:name="_Toc485386683"/>
      <w:r>
        <w:t>The value of X is not determined by UL MIMO subband precoding gains</w:t>
      </w:r>
      <w:bookmarkEnd w:id="56"/>
      <w:bookmarkEnd w:id="57"/>
      <w:bookmarkEnd w:id="58"/>
      <w:bookmarkEnd w:id="59"/>
      <w:bookmarkEnd w:id="60"/>
      <w:bookmarkEnd w:id="61"/>
      <w:bookmarkEnd w:id="62"/>
      <w:bookmarkEnd w:id="63"/>
      <w:bookmarkEnd w:id="64"/>
      <w:bookmarkEnd w:id="65"/>
      <w:bookmarkEnd w:id="66"/>
      <w:bookmarkEnd w:id="67"/>
    </w:p>
    <w:p w14:paraId="067175C0" w14:textId="77777777" w:rsidR="00612B86" w:rsidRDefault="00612B86" w:rsidP="00612B86">
      <w:pPr>
        <w:pStyle w:val="Proposal"/>
        <w:tabs>
          <w:tab w:val="num" w:pos="1304"/>
        </w:tabs>
        <w:ind w:left="1304" w:hanging="1304"/>
      </w:pPr>
      <w:bookmarkStart w:id="68" w:name="_Toc481744762"/>
      <w:bookmarkStart w:id="69" w:name="_Toc481755638"/>
      <w:bookmarkStart w:id="70" w:name="_Toc481755899"/>
      <w:bookmarkStart w:id="71" w:name="_Toc481756485"/>
      <w:bookmarkStart w:id="72" w:name="_Toc481756659"/>
      <w:bookmarkStart w:id="73" w:name="_Toc481756687"/>
      <w:bookmarkStart w:id="74" w:name="_Toc485287611"/>
      <w:bookmarkStart w:id="75" w:name="_Toc485287763"/>
      <w:bookmarkStart w:id="76" w:name="_Toc485288062"/>
      <w:bookmarkStart w:id="77" w:name="_Toc485291005"/>
      <w:bookmarkStart w:id="78" w:name="_Toc485291240"/>
      <w:bookmarkStart w:id="79" w:name="_Toc485291269"/>
      <w:bookmarkStart w:id="80" w:name="_Toc485386684"/>
      <w:r>
        <w:t>Codebooks with</w:t>
      </w:r>
      <w:r w:rsidRPr="00783C8E">
        <w:t xml:space="preserve"> </w:t>
      </w:r>
      <w:r>
        <w:t>non-constant modulus are considered as an alternative to subband TPMI for UL MIMO</w:t>
      </w:r>
      <w:bookmarkEnd w:id="68"/>
      <w:bookmarkEnd w:id="69"/>
      <w:bookmarkEnd w:id="70"/>
      <w:bookmarkEnd w:id="71"/>
      <w:bookmarkEnd w:id="72"/>
      <w:bookmarkEnd w:id="73"/>
      <w:bookmarkEnd w:id="74"/>
      <w:bookmarkEnd w:id="75"/>
      <w:bookmarkEnd w:id="76"/>
      <w:bookmarkEnd w:id="77"/>
      <w:bookmarkEnd w:id="78"/>
      <w:bookmarkEnd w:id="79"/>
      <w:bookmarkEnd w:id="80"/>
    </w:p>
    <w:p w14:paraId="1A4FD8A1" w14:textId="77777777" w:rsidR="002837B7" w:rsidRDefault="002837B7" w:rsidP="002837B7">
      <w:pPr>
        <w:spacing w:before="120"/>
      </w:pPr>
    </w:p>
    <w:p w14:paraId="3EF9D016" w14:textId="7CCE884C" w:rsidR="00612B86" w:rsidRDefault="00612B86" w:rsidP="002837B7">
      <w:r>
        <w:t>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This is not to say that simple i.i.d. models are appropriate.  Rather, evaluations with realistic channels and models of these various UE configurations are needed to produce a robust codebook.</w:t>
      </w:r>
    </w:p>
    <w:p w14:paraId="10B0BA7B" w14:textId="77777777" w:rsidR="00612B86" w:rsidRDefault="00612B86" w:rsidP="00612B86">
      <w:r>
        <w:t xml:space="preserve">Hence, it is desired to create a codebook that can function well in a wide variety of UE antenna configurations and channel conditions. The DL DFT-based codebooks which are based on a uniform linear array of antenna elements or subarrays, with equally spaced antenna elements, may not be sufficient for UEs. </w:t>
      </w:r>
    </w:p>
    <w:p w14:paraId="66EEB608" w14:textId="77777777" w:rsidR="00612B86" w:rsidRDefault="00612B86" w:rsidP="00612B86">
      <w:pPr>
        <w:pStyle w:val="Observation"/>
      </w:pPr>
      <w:bookmarkStart w:id="81" w:name="_Toc485386674"/>
      <w:r>
        <w:t>To support full UE antenna implementation freedom, NR codebook should be designed considering a wide variety of UE antenna configurations and channel conditions.</w:t>
      </w:r>
      <w:bookmarkEnd w:id="81"/>
    </w:p>
    <w:p w14:paraId="6ECA3755" w14:textId="77777777" w:rsidR="00612B86" w:rsidRDefault="00612B86" w:rsidP="00612B86">
      <w:pPr>
        <w:pStyle w:val="Heading2"/>
      </w:pPr>
      <w:r>
        <w:lastRenderedPageBreak/>
        <w:t>UL codebook structure</w:t>
      </w:r>
    </w:p>
    <w:p w14:paraId="5EB99D55" w14:textId="77777777" w:rsidR="00612B86" w:rsidRDefault="00612B86" w:rsidP="00612B86">
      <w:pPr>
        <w:pStyle w:val="Heading3"/>
      </w:pPr>
      <w:r>
        <w:t>General considerations and number of SRS ports</w:t>
      </w:r>
    </w:p>
    <w:p w14:paraId="11D59DA0" w14:textId="7E7B4541" w:rsidR="00612B86" w:rsidRDefault="00612B86" w:rsidP="00612B86">
      <w:r>
        <w:t>Moreover, a number of optimizations are possible for UL codebook design. Since both DFT-S-OFDM and CP-OFDM are to be supported for the uplink, one could design codebooks for both sets of waveforms.  Mult</w:t>
      </w:r>
      <w:r w:rsidR="002145BE">
        <w:t>i</w:t>
      </w:r>
      <w:r>
        <w:t>-stage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tradeoffs, and so on.  Therefore, it is desirable to start with a simple, robust design as a baseline, and to add codebooks one-by-one after their performance gains, complexity benefits, and use cases are established.</w:t>
      </w:r>
    </w:p>
    <w:p w14:paraId="4B0CAB23" w14:textId="77777777" w:rsidR="00612B86" w:rsidRDefault="00612B86" w:rsidP="00612B86">
      <w:r>
        <w:t>Optimizations should keep in mind the use cases of UL MIMO.  The p</w:t>
      </w:r>
      <w:r w:rsidRPr="00F07BD7">
        <w:t xml:space="preserve">rimary goal of multiple Tx chains in </w:t>
      </w:r>
      <w:r>
        <w:t xml:space="preserve">a </w:t>
      </w:r>
      <w:r w:rsidRPr="00F07BD7">
        <w:t xml:space="preserve">UE is </w:t>
      </w:r>
      <w:r>
        <w:t>generally SU-MIMO, since it</w:t>
      </w:r>
      <w:r w:rsidRPr="00F07BD7">
        <w:t xml:space="preserve"> allows </w:t>
      </w:r>
      <w:r>
        <w:t xml:space="preserve">a </w:t>
      </w:r>
      <w:r w:rsidRPr="00F07BD7">
        <w:t>higher peak rate</w:t>
      </w:r>
      <w:r>
        <w:t xml:space="preserve"> that an end user can benefit from having</w:t>
      </w:r>
      <w:r w:rsidRPr="00F07BD7">
        <w:t xml:space="preserve">.  </w:t>
      </w:r>
      <w:r>
        <w:t xml:space="preserve">System capacity gains are more likely to be from uplink sectorization and/or </w:t>
      </w:r>
      <w:r w:rsidRPr="00F07BD7">
        <w:t>MU-MIMO</w:t>
      </w:r>
      <w:r>
        <w:t xml:space="preserve">, since </w:t>
      </w:r>
      <w:r w:rsidRPr="00F07BD7">
        <w:t xml:space="preserve">gNBs tend to have more (perhaps many more) receive antennas.  </w:t>
      </w:r>
      <w:r>
        <w:t>I</w:t>
      </w:r>
      <w:r w:rsidRPr="00F07BD7">
        <w:t>t is not possible to set cell coverage based on multiple Tx antennas</w:t>
      </w:r>
      <w:r>
        <w:t xml:space="preserve"> i</w:t>
      </w:r>
      <w:r w:rsidRPr="00F07BD7">
        <w:t>f multiple</w:t>
      </w:r>
      <w:r>
        <w:t xml:space="preserve"> Tx antennas is a UE capability, and therefore multiple UE antennas are not an effective way in general to increase range</w:t>
      </w:r>
      <w:r w:rsidRPr="00F07BD7">
        <w:t>.  Therefore, designs should focus on getting the most ‘bang for the buck’ out of the DCI bits possible, and using simple schemes.</w:t>
      </w:r>
    </w:p>
    <w:p w14:paraId="400E3768" w14:textId="77777777" w:rsidR="00612B86" w:rsidRDefault="00612B86" w:rsidP="00612B86">
      <w:pPr>
        <w:pStyle w:val="Observation"/>
      </w:pPr>
      <w:bookmarkStart w:id="82" w:name="_Toc485386675"/>
      <w:r>
        <w:t>A wide variety of codebooks could be design for CP-OFDM vs. DFT-S-OFDM, CM preserving vs. non-constant modulus, single stage vs. multi-stage, etc.</w:t>
      </w:r>
      <w:bookmarkEnd w:id="82"/>
    </w:p>
    <w:p w14:paraId="7C705483" w14:textId="77777777" w:rsidR="00612B86" w:rsidRDefault="00612B86" w:rsidP="00612B86">
      <w:pPr>
        <w:pStyle w:val="Proposal"/>
        <w:tabs>
          <w:tab w:val="num" w:pos="1701"/>
        </w:tabs>
      </w:pPr>
      <w:bookmarkStart w:id="83" w:name="_Toc481337242"/>
      <w:bookmarkStart w:id="84" w:name="_Toc481744763"/>
      <w:bookmarkStart w:id="85" w:name="_Toc481755640"/>
      <w:bookmarkStart w:id="86" w:name="_Toc481755900"/>
      <w:bookmarkStart w:id="87" w:name="_Toc481756486"/>
      <w:bookmarkStart w:id="88" w:name="_Toc481756660"/>
      <w:bookmarkStart w:id="89" w:name="_Toc481756688"/>
      <w:bookmarkStart w:id="90" w:name="_Toc485287612"/>
      <w:bookmarkStart w:id="91" w:name="_Toc485287764"/>
      <w:bookmarkStart w:id="92" w:name="_Toc485288063"/>
      <w:bookmarkStart w:id="93" w:name="_Toc485291006"/>
      <w:bookmarkStart w:id="94" w:name="_Toc485291241"/>
      <w:bookmarkStart w:id="95" w:name="_Toc485291270"/>
      <w:bookmarkStart w:id="96" w:name="_Toc485386685"/>
      <w:r>
        <w:t>Prioritize the design of a robust, simple, codebook as a baseline, and add other codebooks according to their gain, complexity, and use case.</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672D95" w14:textId="77777777" w:rsidR="00612B86" w:rsidRDefault="00612B86" w:rsidP="00612B86"/>
    <w:p w14:paraId="1D4CA10C" w14:textId="77777777" w:rsidR="00612B86" w:rsidRDefault="00612B86" w:rsidP="00612B86">
      <w:r>
        <w:t xml:space="preserve">It is still undecided if 8 port SRS will be supported.  As discussed above, UL MIMO design is primarily motivated by peak rate.  NR requires a peak spectral efficiency of 15 bps/Hz on the uplink, and this can be met with four 64 QAM MIMO layers each with a code rate of 5/8.  Therefore, there does not seem to be a need for 8 MIMO layers nor a codebook to support 8 SRS ports at least in a first release of NR.  Note that forward compatibility should be kept in mind, so even if Rel-15 NR does not support 8 MIMO layers, it may be desirable to have 8 DMRS and 8 SRS ports in Rel-15. </w:t>
      </w:r>
    </w:p>
    <w:p w14:paraId="1FCAFCD6" w14:textId="7647D316" w:rsidR="00612B86" w:rsidRDefault="002837B7" w:rsidP="00612B86">
      <w:pPr>
        <w:pStyle w:val="Observation"/>
      </w:pPr>
      <w:bookmarkStart w:id="97" w:name="_Toc485386676"/>
      <w:r>
        <w:t xml:space="preserve">4 layer </w:t>
      </w:r>
      <w:r w:rsidR="00612B86">
        <w:t xml:space="preserve">SU-MIMO can meet NR peak spectral efficiency requirements </w:t>
      </w:r>
      <w:r w:rsidR="00612B86">
        <w:fldChar w:fldCharType="begin"/>
      </w:r>
      <w:r w:rsidR="00612B86">
        <w:instrText xml:space="preserve"> REF _Ref481754337 \r \h </w:instrText>
      </w:r>
      <w:r w:rsidR="00612B86">
        <w:fldChar w:fldCharType="separate"/>
      </w:r>
      <w:r w:rsidR="003E09E3">
        <w:t>[</w:t>
      </w:r>
      <w:r w:rsidR="003E09E3">
        <w:t>3</w:t>
      </w:r>
      <w:r w:rsidR="003E09E3">
        <w:t>]</w:t>
      </w:r>
      <w:r w:rsidR="00612B86">
        <w:fldChar w:fldCharType="end"/>
      </w:r>
      <w:r w:rsidR="00612B86">
        <w:t xml:space="preserve"> of 15 bps/Hz</w:t>
      </w:r>
      <w:bookmarkEnd w:id="97"/>
      <w:r w:rsidR="00612B86">
        <w:t xml:space="preserve"> </w:t>
      </w:r>
    </w:p>
    <w:p w14:paraId="49526F6A" w14:textId="77777777" w:rsidR="00612B86" w:rsidRDefault="00612B86" w:rsidP="00612B86">
      <w:pPr>
        <w:pStyle w:val="Proposal"/>
        <w:tabs>
          <w:tab w:val="num" w:pos="1701"/>
        </w:tabs>
      </w:pPr>
      <w:bookmarkStart w:id="98" w:name="_Toc481755641"/>
      <w:bookmarkStart w:id="99" w:name="_Toc481744764"/>
      <w:bookmarkStart w:id="100" w:name="_Toc481755901"/>
      <w:bookmarkStart w:id="101" w:name="_Toc481756487"/>
      <w:bookmarkStart w:id="102" w:name="_Toc481756661"/>
      <w:bookmarkStart w:id="103" w:name="_Toc481756689"/>
      <w:bookmarkStart w:id="104" w:name="_Toc485287613"/>
      <w:bookmarkStart w:id="105" w:name="_Toc485287765"/>
      <w:bookmarkStart w:id="106" w:name="_Toc485288064"/>
      <w:bookmarkStart w:id="107" w:name="_Toc485291007"/>
      <w:bookmarkStart w:id="108" w:name="_Toc485291242"/>
      <w:bookmarkStart w:id="109" w:name="_Toc485291271"/>
      <w:bookmarkStart w:id="110" w:name="_Toc485386686"/>
      <w:r>
        <w:t>Rel-15 NR supports at most 4 layers for SU-MIMO transmission and codebooks.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A890EE5" w14:textId="77777777" w:rsidR="00612B86" w:rsidRDefault="00612B86" w:rsidP="00612B86">
      <w:pPr>
        <w:pStyle w:val="Heading3"/>
        <w:numPr>
          <w:ilvl w:val="0"/>
          <w:numId w:val="0"/>
        </w:numPr>
        <w:ind w:left="720" w:hanging="720"/>
      </w:pPr>
    </w:p>
    <w:p w14:paraId="770D5BC7" w14:textId="77777777" w:rsidR="00612B86" w:rsidRDefault="00612B86" w:rsidP="00612B86">
      <w:pPr>
        <w:pStyle w:val="Heading3"/>
      </w:pPr>
      <w:r>
        <w:t>Single vs. multi-stage codebooks</w:t>
      </w:r>
    </w:p>
    <w:p w14:paraId="5686D368" w14:textId="77777777" w:rsidR="00612B86" w:rsidRDefault="00612B86" w:rsidP="00612B86">
      <w:r>
        <w:t>Due to the assumption that, at least in some UE implementations, different antennas at a UE are expected to have low correlation a dual stage codebook (i.e. with a W=W</w:t>
      </w:r>
      <w:r w:rsidRPr="004A1C55">
        <w:rPr>
          <w:vertAlign w:val="subscript"/>
        </w:rPr>
        <w:t>1</w:t>
      </w:r>
      <w:r>
        <w:t>W</w:t>
      </w:r>
      <w:r w:rsidRPr="004A1C55">
        <w:rPr>
          <w:vertAlign w:val="subscript"/>
        </w:rPr>
        <w:t>2</w:t>
      </w:r>
      <w:r>
        <w:t xml:space="preserve"> structure, as defined for the LTE downlink) may not suffice, since this structure is specifically tailored to separate wideband (and potentially slowly varying) and subband behaviour. Furthermore, a 2 SRS port codebook will only be single stage.  </w:t>
      </w:r>
    </w:p>
    <w:p w14:paraId="0D692F33" w14:textId="3C2746F7" w:rsidR="00612B86" w:rsidRDefault="00612B86" w:rsidP="00612B86">
      <w:r>
        <w:t xml:space="preserve">However, in </w:t>
      </w:r>
      <w:r w:rsidR="007F1186">
        <w:t>UE configurations</w:t>
      </w:r>
      <w:r>
        <w:t xml:space="preserve"> and with larger numbers of SRS ports, if channels show sufficient correlation, this could be exploited for reducing feedback as is done by the dual stage codebook. We propose it should be studied further if UL codebooks also should include a dual stage structure.</w:t>
      </w:r>
    </w:p>
    <w:p w14:paraId="17447904" w14:textId="77777777" w:rsidR="00612B86" w:rsidRDefault="00612B86" w:rsidP="00612B86">
      <w:pPr>
        <w:pStyle w:val="Observation"/>
      </w:pPr>
      <w:bookmarkStart w:id="111" w:name="_Toc485386677"/>
      <w:r>
        <w:t>A single stage codebook structure is likely to be needed to handle low channel correlation.</w:t>
      </w:r>
      <w:bookmarkEnd w:id="111"/>
      <w:r>
        <w:t xml:space="preserve"> </w:t>
      </w:r>
    </w:p>
    <w:p w14:paraId="38E35EDA" w14:textId="613ED6BC" w:rsidR="00612B86" w:rsidRDefault="00612B86" w:rsidP="00612B86">
      <w:pPr>
        <w:pStyle w:val="Proposal"/>
        <w:tabs>
          <w:tab w:val="num" w:pos="1701"/>
        </w:tabs>
      </w:pPr>
      <w:bookmarkStart w:id="112" w:name="_Toc481337241"/>
      <w:bookmarkStart w:id="113" w:name="_Toc481744765"/>
      <w:bookmarkStart w:id="114" w:name="_Toc481755642"/>
      <w:bookmarkStart w:id="115" w:name="_Toc481755902"/>
      <w:bookmarkStart w:id="116" w:name="_Toc481756488"/>
      <w:bookmarkStart w:id="117" w:name="_Toc481756662"/>
      <w:bookmarkStart w:id="118" w:name="_Toc481756690"/>
      <w:bookmarkStart w:id="119" w:name="_Toc485287614"/>
      <w:bookmarkStart w:id="120" w:name="_Toc485287766"/>
      <w:bookmarkStart w:id="121" w:name="_Toc485288065"/>
      <w:bookmarkStart w:id="122" w:name="_Toc485291008"/>
      <w:bookmarkStart w:id="123" w:name="_Toc485291243"/>
      <w:bookmarkStart w:id="124" w:name="_Toc485291272"/>
      <w:bookmarkStart w:id="125" w:name="_Toc485386687"/>
      <w:r>
        <w:t>A multi stage codebook structure (e.g. using W=W</w:t>
      </w:r>
      <w:r w:rsidRPr="002602C9">
        <w:rPr>
          <w:vertAlign w:val="subscript"/>
        </w:rPr>
        <w:t>1</w:t>
      </w:r>
      <w:r>
        <w:t>W</w:t>
      </w:r>
      <w:r w:rsidRPr="002602C9">
        <w:rPr>
          <w:vertAlign w:val="subscript"/>
        </w:rPr>
        <w:t>2</w:t>
      </w:r>
      <w:r>
        <w:t xml:space="preserve"> as in DL) could be useful to reduce overhead if channel correlation so allows, and should be further studied.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2C0D119" w14:textId="77777777" w:rsidR="009A764B" w:rsidRDefault="009A764B" w:rsidP="00C66C9B">
      <w:pPr>
        <w:pStyle w:val="Proposal"/>
        <w:numPr>
          <w:ilvl w:val="0"/>
          <w:numId w:val="0"/>
        </w:numPr>
        <w:tabs>
          <w:tab w:val="clear" w:pos="1701"/>
        </w:tabs>
      </w:pPr>
    </w:p>
    <w:p w14:paraId="64ADB089" w14:textId="77777777" w:rsidR="00612B86" w:rsidRDefault="00612B86" w:rsidP="00612B86">
      <w:pPr>
        <w:pStyle w:val="Heading3"/>
      </w:pPr>
      <w:r>
        <w:lastRenderedPageBreak/>
        <w:t>Single shot vs. persistent TPMI</w:t>
      </w:r>
    </w:p>
    <w:p w14:paraId="765A6383" w14:textId="77777777" w:rsidR="00612B86" w:rsidRDefault="00612B86" w:rsidP="00C66C9B">
      <w:pPr>
        <w:keepNext/>
      </w:pPr>
      <w:r>
        <w:t>The two alternatives from RAN1#88bis below have fundamental implications on whether TPMI is persistent over time.</w:t>
      </w:r>
    </w:p>
    <w:p w14:paraId="04A8A070"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1:Subband TPMIs are signaled via DCI to the UE only for allocated PRBs</w:t>
      </w:r>
      <w:r>
        <w:rPr>
          <w:rFonts w:eastAsia="MS Mincho"/>
          <w:iCs/>
          <w:lang w:val="en-US" w:eastAsia="ja-JP"/>
        </w:rPr>
        <w:t xml:space="preserve"> for a given PUSCH transmission</w:t>
      </w:r>
    </w:p>
    <w:p w14:paraId="541FA84D" w14:textId="77777777" w:rsidR="00612B86" w:rsidRDefault="00612B86" w:rsidP="00612B86">
      <w:pPr>
        <w:numPr>
          <w:ilvl w:val="1"/>
          <w:numId w:val="20"/>
        </w:numPr>
        <w:overflowPunct/>
        <w:autoSpaceDE/>
        <w:autoSpaceDN/>
        <w:adjustRightInd/>
        <w:spacing w:after="0"/>
        <w:jc w:val="left"/>
        <w:textAlignment w:val="auto"/>
        <w:rPr>
          <w:rFonts w:eastAsia="MS Mincho"/>
          <w:iCs/>
          <w:lang w:val="en-US" w:eastAsia="ja-JP"/>
        </w:rPr>
      </w:pPr>
      <w:r w:rsidRPr="00643FB4">
        <w:rPr>
          <w:rFonts w:eastAsia="MS Mincho"/>
          <w:iCs/>
          <w:lang w:val="en-US" w:eastAsia="ja-JP"/>
        </w:rPr>
        <w:t>Alt 2:Subband TPMIs are signaled via DCI to the UE for all PRBs in UL, regardless of the actual RA for a given PUSCH transmission</w:t>
      </w:r>
    </w:p>
    <w:p w14:paraId="5D8873FA" w14:textId="77777777" w:rsidR="00612B86" w:rsidRDefault="00612B86" w:rsidP="00612B86">
      <w:pPr>
        <w:overflowPunct/>
        <w:autoSpaceDE/>
        <w:autoSpaceDN/>
        <w:adjustRightInd/>
        <w:spacing w:after="0"/>
        <w:jc w:val="left"/>
        <w:textAlignment w:val="auto"/>
      </w:pPr>
    </w:p>
    <w:p w14:paraId="56D62E23" w14:textId="7777777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short term ‘W2’.  Similarly, different TPMIs in different subframes could apply to different subbands.  However, if or how much overhead can be saved depends on channel characteristics and how many PUSCH transmissions a UE makes.  </w:t>
      </w:r>
    </w:p>
    <w:p w14:paraId="71B4D944" w14:textId="77777777" w:rsidR="00612B86" w:rsidRDefault="00612B86" w:rsidP="00612B86">
      <w:pPr>
        <w:overflowPunct/>
        <w:autoSpaceDE/>
        <w:autoSpaceDN/>
        <w:adjustRightInd/>
        <w:spacing w:after="0"/>
        <w:jc w:val="left"/>
        <w:textAlignment w:val="auto"/>
        <w:rPr>
          <w:rFonts w:eastAsia="MS Mincho"/>
          <w:iCs/>
          <w:lang w:val="en-US" w:eastAsia="ja-JP"/>
        </w:rPr>
      </w:pPr>
    </w:p>
    <w:p w14:paraId="41FFFCC4" w14:textId="428486D7" w:rsidR="00612B86" w:rsidRDefault="00612B86"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Furthermore, TPMI only applies to PUSCH, rather than other signals, such as SRS.  This is in contrast to alternative 2, which allows p</w:t>
      </w:r>
      <w:r w:rsidRPr="000216AA">
        <w:rPr>
          <w:rFonts w:eastAsia="MS Mincho"/>
          <w:iCs/>
          <w:lang w:val="en-US" w:eastAsia="ja-JP"/>
        </w:rPr>
        <w:t>recoded SRS controlled by TPMI</w:t>
      </w:r>
      <w:r>
        <w:rPr>
          <w:rFonts w:eastAsia="MS Mincho"/>
          <w:iCs/>
          <w:lang w:val="en-US" w:eastAsia="ja-JP"/>
        </w:rPr>
        <w:t xml:space="preserve">.  Since eNB knows the TPMI, and has either non-precoded SRS or DMRS, eNB should be able to determine the composite channel after precoding, and there is no benefit from e.g. interference estimation or power control perspectives.  Furthermore, </w:t>
      </w:r>
      <w:r w:rsidRPr="000216AA">
        <w:rPr>
          <w:rFonts w:eastAsia="MS Mincho"/>
          <w:iCs/>
          <w:lang w:val="en-US" w:eastAsia="ja-JP"/>
        </w:rPr>
        <w:t>multiple SRS resources can be used to track the beamforming gain of Tx chains.</w:t>
      </w:r>
      <w:r>
        <w:rPr>
          <w:rFonts w:eastAsia="MS Mincho"/>
          <w:iCs/>
          <w:lang w:val="en-US" w:eastAsia="ja-JP"/>
        </w:rPr>
        <w:t xml:space="preserve">  Consequently, the need for TPMI control of SRS precoding should be further studied.</w:t>
      </w:r>
    </w:p>
    <w:p w14:paraId="7135B9A6" w14:textId="5C850C99" w:rsidR="00C66C9B" w:rsidRDefault="00C66C9B" w:rsidP="00612B86">
      <w:pPr>
        <w:overflowPunct/>
        <w:autoSpaceDE/>
        <w:autoSpaceDN/>
        <w:adjustRightInd/>
        <w:spacing w:after="0"/>
        <w:jc w:val="left"/>
        <w:textAlignment w:val="auto"/>
        <w:rPr>
          <w:rFonts w:eastAsia="MS Mincho"/>
          <w:iCs/>
          <w:lang w:val="en-US" w:eastAsia="ja-JP"/>
        </w:rPr>
      </w:pPr>
    </w:p>
    <w:p w14:paraId="77412F08" w14:textId="5BB8B8B5" w:rsidR="00C66C9B" w:rsidRDefault="00C66C9B" w:rsidP="00612B86">
      <w:pPr>
        <w:overflowPunct/>
        <w:autoSpaceDE/>
        <w:autoSpaceDN/>
        <w:adjustRightInd/>
        <w:spacing w:after="0"/>
        <w:jc w:val="left"/>
        <w:textAlignment w:val="auto"/>
        <w:rPr>
          <w:rFonts w:eastAsia="MS Mincho"/>
          <w:iCs/>
          <w:lang w:val="en-US" w:eastAsia="ja-JP"/>
        </w:rPr>
      </w:pPr>
      <w:r>
        <w:rPr>
          <w:rFonts w:eastAsia="MS Mincho"/>
          <w:iCs/>
          <w:lang w:val="en-US" w:eastAsia="ja-JP"/>
        </w:rPr>
        <w:t>Finally, it is unclear if Alt 2 applies outside of a bandwidth part.  If Alt 2. is further considered, this should be addressed.</w:t>
      </w:r>
    </w:p>
    <w:p w14:paraId="1490B6CF" w14:textId="77777777" w:rsidR="00612B86" w:rsidRDefault="00612B86" w:rsidP="00612B86">
      <w:pPr>
        <w:overflowPunct/>
        <w:autoSpaceDE/>
        <w:autoSpaceDN/>
        <w:adjustRightInd/>
        <w:spacing w:after="0"/>
        <w:jc w:val="left"/>
        <w:textAlignment w:val="auto"/>
        <w:rPr>
          <w:rFonts w:eastAsia="MS Mincho"/>
          <w:iCs/>
          <w:lang w:val="en-US" w:eastAsia="ja-JP"/>
        </w:rPr>
      </w:pPr>
    </w:p>
    <w:p w14:paraId="0EC1E13E" w14:textId="199EB49F" w:rsidR="00612B86" w:rsidRDefault="00612B86" w:rsidP="00612B86">
      <w:pPr>
        <w:pStyle w:val="Proposal"/>
        <w:tabs>
          <w:tab w:val="num" w:pos="1304"/>
        </w:tabs>
        <w:ind w:left="1304" w:hanging="1304"/>
        <w:rPr>
          <w:rFonts w:eastAsia="MS Mincho"/>
          <w:lang w:val="en-US" w:eastAsia="ja-JP"/>
        </w:rPr>
      </w:pPr>
      <w:bookmarkStart w:id="126" w:name="_Toc481755903"/>
      <w:bookmarkStart w:id="127" w:name="_Toc481756489"/>
      <w:bookmarkStart w:id="128" w:name="_Toc481756663"/>
      <w:bookmarkStart w:id="129" w:name="_Toc481756691"/>
      <w:bookmarkStart w:id="130" w:name="_Toc485287615"/>
      <w:bookmarkStart w:id="131" w:name="_Toc485287767"/>
      <w:bookmarkStart w:id="132" w:name="_Toc485288066"/>
      <w:bookmarkStart w:id="133" w:name="_Toc485291009"/>
      <w:bookmarkStart w:id="134" w:name="_Toc485291244"/>
      <w:bookmarkStart w:id="135" w:name="_Toc485291273"/>
      <w:bookmarkStart w:id="136" w:name="_Toc481337243"/>
      <w:bookmarkStart w:id="137" w:name="_Toc481744766"/>
      <w:bookmarkStart w:id="138" w:name="_Toc481755643"/>
      <w:bookmarkStart w:id="139" w:name="_Toc485386688"/>
      <w:r>
        <w:rPr>
          <w:rFonts w:eastAsia="MS Mincho"/>
          <w:lang w:val="en-US" w:eastAsia="ja-JP"/>
        </w:rPr>
        <w:t xml:space="preserve">A variation of Alt 1 from RAN1#88bis is supported for at least wideband TPMI and single stage codebook: </w:t>
      </w:r>
      <w:r w:rsidRPr="00643FB4">
        <w:rPr>
          <w:rFonts w:eastAsia="MS Mincho"/>
          <w:lang w:val="en-US" w:eastAsia="ja-JP"/>
        </w:rPr>
        <w:t xml:space="preserve">TPMI </w:t>
      </w:r>
      <w:r>
        <w:rPr>
          <w:rFonts w:eastAsia="MS Mincho"/>
          <w:lang w:val="en-US" w:eastAsia="ja-JP"/>
        </w:rPr>
        <w:t>is</w:t>
      </w:r>
      <w:r w:rsidRPr="00643FB4">
        <w:rPr>
          <w:rFonts w:eastAsia="MS Mincho"/>
          <w:lang w:val="en-US" w:eastAsia="ja-JP"/>
        </w:rPr>
        <w:t xml:space="preserve"> signaled via DCI to the UE only for allocated PRBs</w:t>
      </w:r>
      <w:r>
        <w:rPr>
          <w:rFonts w:eastAsia="MS Mincho"/>
          <w:lang w:val="en-US" w:eastAsia="ja-JP"/>
        </w:rPr>
        <w:t xml:space="preserve"> for a given PUSCH transmission</w:t>
      </w:r>
      <w:bookmarkEnd w:id="126"/>
      <w:bookmarkEnd w:id="127"/>
      <w:bookmarkEnd w:id="128"/>
      <w:bookmarkEnd w:id="129"/>
      <w:bookmarkEnd w:id="130"/>
      <w:bookmarkEnd w:id="131"/>
      <w:bookmarkEnd w:id="132"/>
      <w:bookmarkEnd w:id="133"/>
      <w:bookmarkEnd w:id="134"/>
      <w:bookmarkEnd w:id="135"/>
      <w:bookmarkEnd w:id="139"/>
      <w:r>
        <w:rPr>
          <w:rFonts w:eastAsia="MS Mincho"/>
          <w:lang w:val="en-US" w:eastAsia="ja-JP"/>
        </w:rPr>
        <w:t xml:space="preserve"> </w:t>
      </w:r>
      <w:bookmarkEnd w:id="136"/>
      <w:bookmarkEnd w:id="137"/>
      <w:bookmarkEnd w:id="138"/>
    </w:p>
    <w:p w14:paraId="7883FD84" w14:textId="77777777" w:rsidR="009A764B" w:rsidRDefault="009A764B" w:rsidP="003F2A72">
      <w:pPr>
        <w:pStyle w:val="Proposal"/>
        <w:numPr>
          <w:ilvl w:val="0"/>
          <w:numId w:val="0"/>
        </w:numPr>
        <w:rPr>
          <w:rFonts w:eastAsia="MS Mincho"/>
          <w:lang w:val="en-US" w:eastAsia="ja-JP"/>
        </w:rPr>
      </w:pPr>
    </w:p>
    <w:p w14:paraId="3EEACA49" w14:textId="77777777" w:rsidR="00612B86" w:rsidRDefault="00612B86" w:rsidP="00612B86">
      <w:pPr>
        <w:pStyle w:val="Heading3"/>
      </w:pPr>
      <w:r>
        <w:t>Uses of SRI with TPMI</w:t>
      </w:r>
    </w:p>
    <w:p w14:paraId="505F264A" w14:textId="77777777" w:rsidR="00612B86" w:rsidRDefault="00612B86" w:rsidP="00612B86">
      <w:r>
        <w:t xml:space="preserve">We propose that the codebook used for Codebook based UL transmissions only contains port combining precoders (i.e. no port selection precoders as this can be handled via SRI) in order to minimize the size of the codebook and hence reduce the overhead signalling. </w:t>
      </w:r>
    </w:p>
    <w:p w14:paraId="6D4CC191" w14:textId="77777777" w:rsidR="00612B86" w:rsidRDefault="00612B86" w:rsidP="00612B86">
      <w:r>
        <w:t>As NR probably will support only a limited number of ports in a codebook, whereas the number of SRS resources will be more flexible, there is an advantage by using SRI instead of codebook for port selection.</w:t>
      </w:r>
    </w:p>
    <w:p w14:paraId="34AACBF7" w14:textId="77777777" w:rsidR="00612B86" w:rsidRDefault="00612B86" w:rsidP="00612B86">
      <w:pPr>
        <w:pStyle w:val="Observation"/>
      </w:pPr>
      <w:bookmarkStart w:id="140" w:name="_Toc485386678"/>
      <w:r>
        <w:t>SRI can be used for UE Tx antenna selection without increasing TPMI overhead</w:t>
      </w:r>
      <w:bookmarkEnd w:id="140"/>
    </w:p>
    <w:p w14:paraId="175F98FA" w14:textId="77777777" w:rsidR="00612B86" w:rsidRDefault="00612B86" w:rsidP="00612B86">
      <w:pPr>
        <w:pStyle w:val="Proposal"/>
        <w:tabs>
          <w:tab w:val="num" w:pos="1304"/>
        </w:tabs>
        <w:ind w:left="1304" w:hanging="1304"/>
      </w:pPr>
      <w:bookmarkStart w:id="141" w:name="_Toc481744767"/>
      <w:bookmarkStart w:id="142" w:name="_Toc481337244"/>
      <w:bookmarkStart w:id="143" w:name="_Toc481755644"/>
      <w:bookmarkStart w:id="144" w:name="_Toc481755904"/>
      <w:bookmarkStart w:id="145" w:name="_Toc481756490"/>
      <w:bookmarkStart w:id="146" w:name="_Toc481756664"/>
      <w:bookmarkStart w:id="147" w:name="_Toc481756692"/>
      <w:bookmarkStart w:id="148" w:name="_Toc485287616"/>
      <w:bookmarkStart w:id="149" w:name="_Toc485287768"/>
      <w:bookmarkStart w:id="150" w:name="_Toc485288067"/>
      <w:bookmarkStart w:id="151" w:name="_Toc485291010"/>
      <w:bookmarkStart w:id="152" w:name="_Toc485291245"/>
      <w:bookmarkStart w:id="153" w:name="_Toc485291274"/>
      <w:bookmarkStart w:id="154" w:name="_Toc485386689"/>
      <w:r>
        <w:t>Codebook for Codebook based UL transmission should only contain port combining precoders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97C64EB" w14:textId="34E7B96A" w:rsidR="00612B86" w:rsidRDefault="00612B86" w:rsidP="00612B86">
      <w:r>
        <w:t>Since antenna patterns, orientations, and polarization behavior will vary widely in UEs, it is not practical to develop models specifically for multi-panel UEs.  However, codebook designs that support uncorrelated elements can provide gains across a wide variety of antenna configurations.  Therefore, a sufficiently robust single panel design could be used in the multi</w:t>
      </w:r>
      <w:r w:rsidR="00E5186C">
        <w:t xml:space="preserve"> </w:t>
      </w:r>
      <w:r>
        <w:t xml:space="preserve">panel case.  </w:t>
      </w:r>
    </w:p>
    <w:p w14:paraId="44386AC1" w14:textId="77777777" w:rsidR="00612B86" w:rsidRDefault="00612B86" w:rsidP="00612B86">
      <w:pPr>
        <w:pStyle w:val="Observation"/>
      </w:pPr>
      <w:bookmarkStart w:id="155" w:name="_Toc485386679"/>
      <w:r>
        <w:t>Robust single panel designs can be used for multi-panel applications</w:t>
      </w:r>
      <w:bookmarkEnd w:id="155"/>
    </w:p>
    <w:p w14:paraId="436450B8" w14:textId="77777777" w:rsidR="00612B86" w:rsidRDefault="00612B86" w:rsidP="00612B86">
      <w:pPr>
        <w:pStyle w:val="Proposal"/>
        <w:tabs>
          <w:tab w:val="num" w:pos="1304"/>
        </w:tabs>
        <w:ind w:left="1304" w:hanging="1304"/>
      </w:pPr>
      <w:bookmarkStart w:id="156" w:name="_Toc481337245"/>
      <w:bookmarkStart w:id="157" w:name="_Toc481744768"/>
      <w:bookmarkStart w:id="158" w:name="_Toc481755645"/>
      <w:bookmarkStart w:id="159" w:name="_Toc481755905"/>
      <w:bookmarkStart w:id="160" w:name="_Toc481756491"/>
      <w:bookmarkStart w:id="161" w:name="_Toc481756665"/>
      <w:bookmarkStart w:id="162" w:name="_Toc481756693"/>
      <w:bookmarkStart w:id="163" w:name="_Toc485287617"/>
      <w:bookmarkStart w:id="164" w:name="_Toc485287769"/>
      <w:bookmarkStart w:id="165" w:name="_Toc485288068"/>
      <w:bookmarkStart w:id="166" w:name="_Toc485291011"/>
      <w:bookmarkStart w:id="167" w:name="_Toc485291246"/>
      <w:bookmarkStart w:id="168" w:name="_Toc485291275"/>
      <w:bookmarkStart w:id="169" w:name="_Toc485386690"/>
      <w:r>
        <w:t>UL codebook design targets single panel operation; multi-panel operation is supported with the single panel design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A797E2E" w14:textId="420005B8" w:rsidR="00612B86" w:rsidRDefault="00612B86" w:rsidP="00612B86">
      <w:r>
        <w:t xml:space="preserve">It is natural to transmit different panels on different SRS resources, since spatial characteristics of elements in panels are likely to be different between panels.  However, it can also be beneficial to transmit simultaneously on multiple panels to produce a higher rank, a more directive transmission, and/or to combine transmit power from multiple power amplifiers, as discussed in </w:t>
      </w:r>
      <w:r>
        <w:fldChar w:fldCharType="begin"/>
      </w:r>
      <w:r>
        <w:instrText xml:space="preserve"> REF _Ref481751565 \r \h </w:instrText>
      </w:r>
      <w:r>
        <w:fldChar w:fldCharType="separate"/>
      </w:r>
      <w:r w:rsidR="003E09E3">
        <w:rPr>
          <w:b/>
          <w:bCs/>
          <w:lang w:val="en-US"/>
        </w:rPr>
        <w:t>Error! Reference source not found.</w:t>
      </w:r>
      <w:r>
        <w:fldChar w:fldCharType="end"/>
      </w:r>
      <w:r>
        <w:t xml:space="preserve">. Consequently, the ports to which a codebook can </w:t>
      </w:r>
      <w:r>
        <w:lastRenderedPageBreak/>
        <w:t>apply should be able to be formed by aggregating SRS resources.  When multiple SRI(s) are indicated, the TPMI applies across all ports in the indicated resources, and a codebook corresponding to the aggregated resource is used</w:t>
      </w:r>
    </w:p>
    <w:p w14:paraId="21EA94A9" w14:textId="77777777" w:rsidR="00612B86" w:rsidRDefault="00612B86" w:rsidP="00612B86">
      <w:pPr>
        <w:pStyle w:val="Proposal"/>
        <w:tabs>
          <w:tab w:val="num" w:pos="1304"/>
        </w:tabs>
        <w:ind w:left="1304" w:hanging="1304"/>
      </w:pPr>
      <w:bookmarkStart w:id="170" w:name="_Toc481756694"/>
      <w:bookmarkStart w:id="171" w:name="_Toc485287618"/>
      <w:bookmarkStart w:id="172" w:name="_Toc485287770"/>
      <w:bookmarkStart w:id="173" w:name="_Toc485288069"/>
      <w:bookmarkStart w:id="174" w:name="_Toc485291012"/>
      <w:bookmarkStart w:id="175" w:name="_Toc485291247"/>
      <w:bookmarkStart w:id="176" w:name="_Toc485291276"/>
      <w:bookmarkStart w:id="177" w:name="_Toc485386691"/>
      <w:r>
        <w:t>TPMI can apply to aggregated SRS Resources indicated by multiple SRI(s)</w:t>
      </w:r>
      <w:bookmarkEnd w:id="170"/>
      <w:bookmarkEnd w:id="171"/>
      <w:bookmarkEnd w:id="172"/>
      <w:bookmarkEnd w:id="173"/>
      <w:bookmarkEnd w:id="174"/>
      <w:bookmarkEnd w:id="175"/>
      <w:bookmarkEnd w:id="176"/>
      <w:bookmarkEnd w:id="177"/>
    </w:p>
    <w:p w14:paraId="5910B7AD" w14:textId="50D9D49A" w:rsidR="00E4238A" w:rsidRDefault="00FB6C9F" w:rsidP="009D1484">
      <w:r>
        <w:t>Concept</w:t>
      </w:r>
      <w:r w:rsidR="00522CC5">
        <w:t>s</w:t>
      </w:r>
      <w:r>
        <w:t xml:space="preserve"> for UL beam management </w:t>
      </w:r>
      <w:r w:rsidR="00522CC5">
        <w:t>are</w:t>
      </w:r>
      <w:r>
        <w:t xml:space="preserve"> </w:t>
      </w:r>
      <w:r w:rsidR="00041B6F">
        <w:t>currently being developed for</w:t>
      </w:r>
      <w:r>
        <w:t xml:space="preserve"> NR to control the beam (or mo</w:t>
      </w:r>
      <w:r w:rsidR="00041B6F">
        <w:t>re correctly the effective antenna</w:t>
      </w:r>
      <w:r>
        <w:t xml:space="preserve"> pattern) for respective </w:t>
      </w:r>
      <w:r w:rsidR="00041B6F">
        <w:t xml:space="preserve">UE </w:t>
      </w:r>
      <w:r>
        <w:t>panel</w:t>
      </w:r>
      <w:r w:rsidR="00916747">
        <w:t>, which we have elaborated further</w:t>
      </w:r>
      <w:r w:rsidR="006840FB">
        <w:t xml:space="preserve"> on</w:t>
      </w:r>
      <w:r w:rsidR="00916747">
        <w:t xml:space="preserve"> in </w:t>
      </w:r>
      <w:r w:rsidR="00A63562">
        <w:fldChar w:fldCharType="begin"/>
      </w:r>
      <w:r w:rsidR="00A63562">
        <w:instrText xml:space="preserve"> REF _Ref485288006 \n \h </w:instrText>
      </w:r>
      <w:r w:rsidR="00A63562">
        <w:fldChar w:fldCharType="separate"/>
      </w:r>
      <w:r w:rsidR="003E09E3">
        <w:t>[</w:t>
      </w:r>
      <w:r w:rsidR="003E09E3">
        <w:t>4</w:t>
      </w:r>
      <w:r w:rsidR="003E09E3">
        <w:t>]</w:t>
      </w:r>
      <w:r w:rsidR="00A63562">
        <w:fldChar w:fldCharType="end"/>
      </w:r>
      <w:r>
        <w:t>. It is expected that UL beam management is performed by letting the UE transmit different SRS resources in different</w:t>
      </w:r>
      <w:r w:rsidR="00041B6F">
        <w:t xml:space="preserve"> UE panel beams</w:t>
      </w:r>
      <w:r>
        <w:t xml:space="preserve">, </w:t>
      </w:r>
      <w:r w:rsidR="00041B6F">
        <w:t xml:space="preserve">which the TRP performs RSRP measurements on and signals back the SRI(s) corresponding to the SRS resource(s) with highest RSRP value(s). </w:t>
      </w:r>
      <w:r w:rsidR="00112280">
        <w:t>If a multi-panel UE is scheduled for SRS transmission of multiple beams from</w:t>
      </w:r>
      <w:r w:rsidR="00D00F2B">
        <w:t xml:space="preserve"> each of the</w:t>
      </w:r>
      <w:r w:rsidR="00112280">
        <w:t xml:space="preserve"> multiple panels, the TRP </w:t>
      </w:r>
      <w:r w:rsidR="006840FB">
        <w:t xml:space="preserve">and UE need to have a mutual agreement of </w:t>
      </w:r>
      <w:r w:rsidR="00112280">
        <w:t xml:space="preserve">which </w:t>
      </w:r>
      <w:r w:rsidR="00622F92">
        <w:t xml:space="preserve">combinations of </w:t>
      </w:r>
      <w:r w:rsidR="00112280">
        <w:t>SRS r</w:t>
      </w:r>
      <w:r w:rsidR="006840FB">
        <w:t xml:space="preserve">esources </w:t>
      </w:r>
      <w:r w:rsidR="00622F92">
        <w:t>can be transmitted simultaneously from the different panels</w:t>
      </w:r>
      <w:r w:rsidR="006840FB">
        <w:t xml:space="preserve">. Otherwise the TRP </w:t>
      </w:r>
      <w:r w:rsidR="00622F92">
        <w:t>could select SRS resources that could not be transmitted simultaneously, such as when the SRS resources correspond to different switched analog beams in a panel.</w:t>
      </w:r>
      <w:r w:rsidR="006B28FE">
        <w:t xml:space="preserve"> One way to solve this is to </w:t>
      </w:r>
      <w:r w:rsidR="00622F92">
        <w:t xml:space="preserve">identify groups of SRS resources, where only one of the resources in an SRS resource group </w:t>
      </w:r>
      <w:r w:rsidR="00902E65">
        <w:t xml:space="preserve">can be transmitted at a time.  The </w:t>
      </w:r>
      <w:r w:rsidR="00622F92">
        <w:t>one resource from each of the SRS resource groups can be transmitted simultaneously</w:t>
      </w:r>
      <w:r w:rsidR="00902E65">
        <w:t xml:space="preserve"> with each of the other selected SRS</w:t>
      </w:r>
      <w:r w:rsidR="00930D66">
        <w:t xml:space="preserve"> resource</w:t>
      </w:r>
      <w:r w:rsidR="00902E65">
        <w:t>s from the other groups</w:t>
      </w:r>
      <w:r w:rsidR="00622F92">
        <w:t xml:space="preserve">. </w:t>
      </w:r>
      <w:r w:rsidR="00FA1862">
        <w:t xml:space="preserve">Given the knowledge of the number of SRS groups, and which SRS resources are in the groups, the TRP can </w:t>
      </w:r>
      <w:r w:rsidR="007A083F">
        <w:t>determine which SRS resources it can instruct the UE to transmit when multiple SRIs are signalled.</w:t>
      </w:r>
    </w:p>
    <w:p w14:paraId="3D507746" w14:textId="46E2C751" w:rsidR="006B28FE" w:rsidRDefault="00E4238A" w:rsidP="009D1484">
      <w:r>
        <w:t>We note that the notion of an SRS resource group</w:t>
      </w:r>
      <w:r w:rsidR="00C53F2C">
        <w:t xml:space="preserve"> </w:t>
      </w:r>
      <w:r w:rsidR="00163077">
        <w:t xml:space="preserve">here serves a similar purpose to DMRS port groups defined for the NR downlink and to the SRS port group proposed in </w:t>
      </w:r>
      <w:r w:rsidR="009A764B">
        <w:fldChar w:fldCharType="begin"/>
      </w:r>
      <w:r w:rsidR="009A764B">
        <w:instrText xml:space="preserve"> REF _Ref485290739 \r \h </w:instrText>
      </w:r>
      <w:r w:rsidR="009A764B">
        <w:fldChar w:fldCharType="separate"/>
      </w:r>
      <w:r w:rsidR="003E09E3">
        <w:t>[5]</w:t>
      </w:r>
      <w:r w:rsidR="009A764B">
        <w:fldChar w:fldCharType="end"/>
      </w:r>
      <w:r w:rsidR="00163077">
        <w:t>.  Given that an SRI refers to an SRS resource, and since an SRS antenna port group would seem to imply some selection or subdivision within one SRS resource, ‘SRS resource group’ seems to be more appropriate to describe the intended behavior.</w:t>
      </w:r>
    </w:p>
    <w:p w14:paraId="64BF0363" w14:textId="10D59852" w:rsidR="00E34C06" w:rsidRDefault="00F943F7" w:rsidP="007A083F">
      <w:pPr>
        <w:pStyle w:val="Proposal"/>
        <w:tabs>
          <w:tab w:val="num" w:pos="1304"/>
        </w:tabs>
        <w:ind w:left="1304" w:hanging="1304"/>
      </w:pPr>
      <w:bookmarkStart w:id="178" w:name="_Toc485291013"/>
      <w:bookmarkStart w:id="179" w:name="_Toc485291248"/>
      <w:bookmarkStart w:id="180" w:name="_Toc485291277"/>
      <w:bookmarkStart w:id="181" w:name="_Toc485287619"/>
      <w:bookmarkStart w:id="182" w:name="_Toc485287771"/>
      <w:bookmarkStart w:id="183" w:name="_Toc485288070"/>
      <w:bookmarkStart w:id="184" w:name="_Toc485386692"/>
      <w:r>
        <w:t xml:space="preserve">SRS resource groups are defined, where </w:t>
      </w:r>
      <w:r w:rsidR="00FA1862">
        <w:t xml:space="preserve">a UE can be assumed to be able to transmit </w:t>
      </w:r>
      <w:r>
        <w:t xml:space="preserve">only one SRS </w:t>
      </w:r>
      <w:r w:rsidR="00FA1862">
        <w:t xml:space="preserve">resource </w:t>
      </w:r>
      <w:r>
        <w:t xml:space="preserve">in </w:t>
      </w:r>
      <w:r w:rsidR="009A764B">
        <w:t>an</w:t>
      </w:r>
      <w:r>
        <w:t xml:space="preserve"> SRS resource group at a time</w:t>
      </w:r>
      <w:r w:rsidR="00FA1862">
        <w:t>, and where a UE can simultaneously transmit one SRS resource from each of multiple SRS resource groups.</w:t>
      </w:r>
      <w:bookmarkEnd w:id="178"/>
      <w:bookmarkEnd w:id="179"/>
      <w:bookmarkEnd w:id="180"/>
      <w:bookmarkEnd w:id="181"/>
      <w:bookmarkEnd w:id="182"/>
      <w:bookmarkEnd w:id="183"/>
      <w:bookmarkEnd w:id="184"/>
    </w:p>
    <w:p w14:paraId="56327F3C" w14:textId="77777777" w:rsidR="00C01F33" w:rsidRPr="00CE0424" w:rsidRDefault="00C01F33" w:rsidP="003A0E41">
      <w:pPr>
        <w:pStyle w:val="Heading1"/>
      </w:pPr>
      <w:r w:rsidRPr="00CE0424">
        <w:t>Conclusion</w:t>
      </w:r>
      <w:r w:rsidR="00AE2FEB">
        <w:t>s</w:t>
      </w:r>
    </w:p>
    <w:p w14:paraId="663A85E8" w14:textId="77777777" w:rsidR="00612B86" w:rsidRPr="00C41AC6" w:rsidRDefault="00612B86" w:rsidP="00612B86">
      <w:bookmarkStart w:id="185" w:name="_In-sequence_SDU_delivery"/>
      <w:bookmarkEnd w:id="185"/>
      <w:r>
        <w:t>This contribution has considered a variety of UL MIMO codebook related issues, including definitions of codebook based UL transmission and non-codebook based UL transmission, the design of UL MIMO codebooks, the amount of TPMI overhead that may be available to support them, the benefit of frequency selective precoding, whether TPMI should be persistent, and the number of ports and layers UL SU-MIMO and the codebook should be designed for.  We made the following observations:</w:t>
      </w:r>
    </w:p>
    <w:p w14:paraId="2844AF2D" w14:textId="2C969A03" w:rsidR="003E09E3" w:rsidRDefault="00612B86">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386671" w:history="1">
        <w:r w:rsidR="003E09E3" w:rsidRPr="00FF7A7C">
          <w:rPr>
            <w:rStyle w:val="Hyperlink"/>
            <w:lang w:val="en-US"/>
          </w:rPr>
          <w:t>Observation 1</w:t>
        </w:r>
        <w:r w:rsidR="003E09E3">
          <w:rPr>
            <w:rFonts w:asciiTheme="minorHAnsi" w:eastAsiaTheme="minorEastAsia" w:hAnsiTheme="minorHAnsi" w:cstheme="minorBidi"/>
            <w:b w:val="0"/>
            <w:sz w:val="22"/>
            <w:lang w:eastAsia="en-US"/>
          </w:rPr>
          <w:tab/>
        </w:r>
        <w:r w:rsidR="003E09E3" w:rsidRPr="00FF7A7C">
          <w:rPr>
            <w:rStyle w:val="Hyperlink"/>
            <w:lang w:val="en-US"/>
          </w:rPr>
          <w:t>Roughly 10 DCI bits for all of TPMI, SRI, and RI can be used as a starting point for NR UL MIMO codebook design</w:t>
        </w:r>
      </w:hyperlink>
    </w:p>
    <w:p w14:paraId="6E0108B8" w14:textId="00B6BCB5" w:rsidR="003E09E3" w:rsidRDefault="003E09E3">
      <w:pPr>
        <w:pStyle w:val="TOC1"/>
        <w:rPr>
          <w:rFonts w:asciiTheme="minorHAnsi" w:eastAsiaTheme="minorEastAsia" w:hAnsiTheme="minorHAnsi" w:cstheme="minorBidi"/>
          <w:b w:val="0"/>
          <w:sz w:val="22"/>
          <w:lang w:eastAsia="en-US"/>
        </w:rPr>
      </w:pPr>
      <w:hyperlink w:anchor="_Toc485386672" w:history="1">
        <w:r w:rsidRPr="00FF7A7C">
          <w:rPr>
            <w:rStyle w:val="Hyperlink"/>
          </w:rPr>
          <w:t>Observation 2</w:t>
        </w:r>
        <w:r>
          <w:rPr>
            <w:rFonts w:asciiTheme="minorHAnsi" w:eastAsiaTheme="minorEastAsia" w:hAnsiTheme="minorHAnsi" w:cstheme="minorBidi"/>
            <w:b w:val="0"/>
            <w:sz w:val="22"/>
            <w:lang w:eastAsia="en-US"/>
          </w:rPr>
          <w:tab/>
        </w:r>
        <w:r w:rsidRPr="00FF7A7C">
          <w:rPr>
            <w:rStyle w:val="Hyperlink"/>
          </w:rPr>
          <w:t>Gains from subband TPMI with practical numbers of bits in realistic channels may be modest.   For example, for both 2 and 4 ports at 28 GHz, we observed on the order of 0.15-0.3 dB median gain in UMa.</w:t>
        </w:r>
      </w:hyperlink>
    </w:p>
    <w:p w14:paraId="38B85D9A" w14:textId="1B228EC5" w:rsidR="003E09E3" w:rsidRDefault="003E09E3">
      <w:pPr>
        <w:pStyle w:val="TOC1"/>
        <w:rPr>
          <w:rFonts w:asciiTheme="minorHAnsi" w:eastAsiaTheme="minorEastAsia" w:hAnsiTheme="minorHAnsi" w:cstheme="minorBidi"/>
          <w:b w:val="0"/>
          <w:sz w:val="22"/>
          <w:lang w:eastAsia="en-US"/>
        </w:rPr>
      </w:pPr>
      <w:hyperlink w:anchor="_Toc485386673" w:history="1">
        <w:r w:rsidRPr="00FF7A7C">
          <w:rPr>
            <w:rStyle w:val="Hyperlink"/>
          </w:rPr>
          <w:t>Observation 3</w:t>
        </w:r>
        <w:r>
          <w:rPr>
            <w:rFonts w:asciiTheme="minorHAnsi" w:eastAsiaTheme="minorEastAsia" w:hAnsiTheme="minorHAnsi" w:cstheme="minorBidi"/>
            <w:b w:val="0"/>
            <w:sz w:val="22"/>
            <w:lang w:eastAsia="en-US"/>
          </w:rPr>
          <w:tab/>
        </w:r>
        <w:r w:rsidRPr="00FF7A7C">
          <w:rPr>
            <w:rStyle w:val="Hyperlink"/>
          </w:rPr>
          <w:t>Increasing codebook size and using non-constant modulus elements can provide substantially better gains than increasing subband size in multi-panel UEs.</w:t>
        </w:r>
      </w:hyperlink>
    </w:p>
    <w:p w14:paraId="13EBA002" w14:textId="0145A580" w:rsidR="003E09E3" w:rsidRDefault="003E09E3">
      <w:pPr>
        <w:pStyle w:val="TOC1"/>
        <w:rPr>
          <w:rFonts w:asciiTheme="minorHAnsi" w:eastAsiaTheme="minorEastAsia" w:hAnsiTheme="minorHAnsi" w:cstheme="minorBidi"/>
          <w:b w:val="0"/>
          <w:sz w:val="22"/>
          <w:lang w:eastAsia="en-US"/>
        </w:rPr>
      </w:pPr>
      <w:hyperlink w:anchor="_Toc485386674" w:history="1">
        <w:r w:rsidRPr="00FF7A7C">
          <w:rPr>
            <w:rStyle w:val="Hyperlink"/>
          </w:rPr>
          <w:t>Observation 4</w:t>
        </w:r>
        <w:r>
          <w:rPr>
            <w:rFonts w:asciiTheme="minorHAnsi" w:eastAsiaTheme="minorEastAsia" w:hAnsiTheme="minorHAnsi" w:cstheme="minorBidi"/>
            <w:b w:val="0"/>
            <w:sz w:val="22"/>
            <w:lang w:eastAsia="en-US"/>
          </w:rPr>
          <w:tab/>
        </w:r>
        <w:r w:rsidRPr="00FF7A7C">
          <w:rPr>
            <w:rStyle w:val="Hyperlink"/>
          </w:rPr>
          <w:t>To support full UE antenna implementation freedom, NR codebook should be designed considering a wide variety of UE antenna configurations and channel conditions.</w:t>
        </w:r>
      </w:hyperlink>
    </w:p>
    <w:p w14:paraId="51663601" w14:textId="34E666EE" w:rsidR="003E09E3" w:rsidRDefault="003E09E3">
      <w:pPr>
        <w:pStyle w:val="TOC1"/>
        <w:rPr>
          <w:rFonts w:asciiTheme="minorHAnsi" w:eastAsiaTheme="minorEastAsia" w:hAnsiTheme="minorHAnsi" w:cstheme="minorBidi"/>
          <w:b w:val="0"/>
          <w:sz w:val="22"/>
          <w:lang w:eastAsia="en-US"/>
        </w:rPr>
      </w:pPr>
      <w:hyperlink w:anchor="_Toc485386675" w:history="1">
        <w:r w:rsidRPr="00FF7A7C">
          <w:rPr>
            <w:rStyle w:val="Hyperlink"/>
          </w:rPr>
          <w:t>Observation 5</w:t>
        </w:r>
        <w:r>
          <w:rPr>
            <w:rFonts w:asciiTheme="minorHAnsi" w:eastAsiaTheme="minorEastAsia" w:hAnsiTheme="minorHAnsi" w:cstheme="minorBidi"/>
            <w:b w:val="0"/>
            <w:sz w:val="22"/>
            <w:lang w:eastAsia="en-US"/>
          </w:rPr>
          <w:tab/>
        </w:r>
        <w:r w:rsidRPr="00FF7A7C">
          <w:rPr>
            <w:rStyle w:val="Hyperlink"/>
          </w:rPr>
          <w:t>A wide variety of codebooks could be design for CP-OFDM vs. DFT-S-OFDM, CM preserving vs. non-constant modulus, single stage vs. multi-stage, etc.</w:t>
        </w:r>
      </w:hyperlink>
    </w:p>
    <w:p w14:paraId="5932B6ED" w14:textId="6742F6A8" w:rsidR="003E09E3" w:rsidRDefault="003E09E3">
      <w:pPr>
        <w:pStyle w:val="TOC1"/>
        <w:rPr>
          <w:rFonts w:asciiTheme="minorHAnsi" w:eastAsiaTheme="minorEastAsia" w:hAnsiTheme="minorHAnsi" w:cstheme="minorBidi"/>
          <w:b w:val="0"/>
          <w:sz w:val="22"/>
          <w:lang w:eastAsia="en-US"/>
        </w:rPr>
      </w:pPr>
      <w:hyperlink w:anchor="_Toc485386676" w:history="1">
        <w:r w:rsidRPr="00FF7A7C">
          <w:rPr>
            <w:rStyle w:val="Hyperlink"/>
          </w:rPr>
          <w:t>Observation 6</w:t>
        </w:r>
        <w:r>
          <w:rPr>
            <w:rFonts w:asciiTheme="minorHAnsi" w:eastAsiaTheme="minorEastAsia" w:hAnsiTheme="minorHAnsi" w:cstheme="minorBidi"/>
            <w:b w:val="0"/>
            <w:sz w:val="22"/>
            <w:lang w:eastAsia="en-US"/>
          </w:rPr>
          <w:tab/>
        </w:r>
        <w:r w:rsidRPr="00FF7A7C">
          <w:rPr>
            <w:rStyle w:val="Hyperlink"/>
          </w:rPr>
          <w:t>4 layer SU-MIMO can meet NR peak spectral efficiency requirements [3] of 15 bps/Hz</w:t>
        </w:r>
      </w:hyperlink>
    </w:p>
    <w:p w14:paraId="09A097E3" w14:textId="2E1B8242" w:rsidR="003E09E3" w:rsidRDefault="003E09E3">
      <w:pPr>
        <w:pStyle w:val="TOC1"/>
        <w:rPr>
          <w:rFonts w:asciiTheme="minorHAnsi" w:eastAsiaTheme="minorEastAsia" w:hAnsiTheme="minorHAnsi" w:cstheme="minorBidi"/>
          <w:b w:val="0"/>
          <w:sz w:val="22"/>
          <w:lang w:eastAsia="en-US"/>
        </w:rPr>
      </w:pPr>
      <w:hyperlink w:anchor="_Toc485386677" w:history="1">
        <w:r w:rsidRPr="00FF7A7C">
          <w:rPr>
            <w:rStyle w:val="Hyperlink"/>
          </w:rPr>
          <w:t>Observation 7</w:t>
        </w:r>
        <w:r>
          <w:rPr>
            <w:rFonts w:asciiTheme="minorHAnsi" w:eastAsiaTheme="minorEastAsia" w:hAnsiTheme="minorHAnsi" w:cstheme="minorBidi"/>
            <w:b w:val="0"/>
            <w:sz w:val="22"/>
            <w:lang w:eastAsia="en-US"/>
          </w:rPr>
          <w:tab/>
        </w:r>
        <w:r w:rsidRPr="00FF7A7C">
          <w:rPr>
            <w:rStyle w:val="Hyperlink"/>
          </w:rPr>
          <w:t>A single stage codebook structure is likely to be needed to handle low channel correlation.</w:t>
        </w:r>
      </w:hyperlink>
    </w:p>
    <w:p w14:paraId="70EFA79E" w14:textId="4FBFE4C0" w:rsidR="003E09E3" w:rsidRDefault="003E09E3">
      <w:pPr>
        <w:pStyle w:val="TOC1"/>
        <w:rPr>
          <w:rFonts w:asciiTheme="minorHAnsi" w:eastAsiaTheme="minorEastAsia" w:hAnsiTheme="minorHAnsi" w:cstheme="minorBidi"/>
          <w:b w:val="0"/>
          <w:sz w:val="22"/>
          <w:lang w:eastAsia="en-US"/>
        </w:rPr>
      </w:pPr>
      <w:hyperlink w:anchor="_Toc485386678" w:history="1">
        <w:r w:rsidRPr="00FF7A7C">
          <w:rPr>
            <w:rStyle w:val="Hyperlink"/>
          </w:rPr>
          <w:t>Observation 8</w:t>
        </w:r>
        <w:r>
          <w:rPr>
            <w:rFonts w:asciiTheme="minorHAnsi" w:eastAsiaTheme="minorEastAsia" w:hAnsiTheme="minorHAnsi" w:cstheme="minorBidi"/>
            <w:b w:val="0"/>
            <w:sz w:val="22"/>
            <w:lang w:eastAsia="en-US"/>
          </w:rPr>
          <w:tab/>
        </w:r>
        <w:r w:rsidRPr="00FF7A7C">
          <w:rPr>
            <w:rStyle w:val="Hyperlink"/>
          </w:rPr>
          <w:t>SRI can be used for UE Tx antenna selection without increasing TPMI overhead</w:t>
        </w:r>
      </w:hyperlink>
    </w:p>
    <w:p w14:paraId="34FE5588" w14:textId="0A02CEBE" w:rsidR="003E09E3" w:rsidRDefault="003E09E3">
      <w:pPr>
        <w:pStyle w:val="TOC1"/>
        <w:rPr>
          <w:rFonts w:asciiTheme="minorHAnsi" w:eastAsiaTheme="minorEastAsia" w:hAnsiTheme="minorHAnsi" w:cstheme="minorBidi"/>
          <w:b w:val="0"/>
          <w:sz w:val="22"/>
          <w:lang w:eastAsia="en-US"/>
        </w:rPr>
      </w:pPr>
      <w:hyperlink w:anchor="_Toc485386679" w:history="1">
        <w:r w:rsidRPr="00FF7A7C">
          <w:rPr>
            <w:rStyle w:val="Hyperlink"/>
          </w:rPr>
          <w:t>Observation 9</w:t>
        </w:r>
        <w:r>
          <w:rPr>
            <w:rFonts w:asciiTheme="minorHAnsi" w:eastAsiaTheme="minorEastAsia" w:hAnsiTheme="minorHAnsi" w:cstheme="minorBidi"/>
            <w:b w:val="0"/>
            <w:sz w:val="22"/>
            <w:lang w:eastAsia="en-US"/>
          </w:rPr>
          <w:tab/>
        </w:r>
        <w:r w:rsidRPr="00FF7A7C">
          <w:rPr>
            <w:rStyle w:val="Hyperlink"/>
          </w:rPr>
          <w:t>Robust single panel designs can be used for multi-panel applications</w:t>
        </w:r>
      </w:hyperlink>
    </w:p>
    <w:p w14:paraId="0503D6A1" w14:textId="77777777" w:rsidR="00612B86" w:rsidRDefault="00612B86" w:rsidP="00D749FD">
      <w:pPr>
        <w:pStyle w:val="TOC1"/>
        <w:keepNext w:val="0"/>
        <w:ind w:left="1699" w:hanging="1699"/>
        <w:rPr>
          <w:bCs/>
        </w:rPr>
      </w:pPr>
      <w:r>
        <w:rPr>
          <w:bCs/>
        </w:rPr>
        <w:fldChar w:fldCharType="end"/>
      </w:r>
    </w:p>
    <w:p w14:paraId="7F4D9C27" w14:textId="77777777" w:rsidR="00612B86" w:rsidRDefault="00612B86" w:rsidP="00B54948">
      <w:pPr>
        <w:keepNext/>
      </w:pPr>
      <w:r>
        <w:lastRenderedPageBreak/>
        <w:t>Given these observations, we propose:</w:t>
      </w:r>
    </w:p>
    <w:p w14:paraId="76C0F328" w14:textId="77777777" w:rsidR="003E09E3" w:rsidRDefault="00612B86">
      <w:pPr>
        <w:pStyle w:val="TOC1"/>
        <w:rPr>
          <w:rFonts w:asciiTheme="minorHAnsi" w:eastAsiaTheme="minorEastAsia" w:hAnsiTheme="minorHAnsi" w:cstheme="minorBidi"/>
          <w:b w:val="0"/>
          <w:sz w:val="22"/>
          <w:lang w:eastAsia="en-US"/>
        </w:rPr>
      </w:pPr>
      <w:r>
        <w:rPr>
          <w:b w:val="0"/>
          <w:szCs w:val="20"/>
        </w:rPr>
        <w:fldChar w:fldCharType="begin"/>
      </w:r>
      <w:r>
        <w:instrText xml:space="preserve"> TOC \f \n \p " " \t "Proposal,1" </w:instrText>
      </w:r>
      <w:r>
        <w:rPr>
          <w:b w:val="0"/>
          <w:szCs w:val="20"/>
        </w:rPr>
        <w:fldChar w:fldCharType="separate"/>
      </w:r>
      <w:bookmarkStart w:id="186" w:name="_Toc481744771"/>
      <w:r w:rsidR="003E09E3">
        <w:t>Proposal 1</w:t>
      </w:r>
      <w:r w:rsidR="003E09E3">
        <w:rPr>
          <w:rFonts w:asciiTheme="minorHAnsi" w:eastAsiaTheme="minorEastAsia" w:hAnsiTheme="minorHAnsi" w:cstheme="minorBidi"/>
          <w:b w:val="0"/>
          <w:sz w:val="22"/>
          <w:lang w:eastAsia="en-US"/>
        </w:rPr>
        <w:tab/>
      </w:r>
      <w:r w:rsidR="003E09E3">
        <w:t>For Codebook based UL transmission, at least TPMI is signalled back to the UE to determine precoder for UL transmissions.</w:t>
      </w:r>
    </w:p>
    <w:p w14:paraId="633D2A62" w14:textId="77777777" w:rsidR="003E09E3" w:rsidRDefault="003E09E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Non-codebook based UL transmission, no TPMI is signalled back to the UE, instead SRI(s) will signalled back to the UE to determine precoder for UL transmissions.</w:t>
      </w:r>
    </w:p>
    <w:p w14:paraId="3C8FDE53" w14:textId="77777777" w:rsidR="003E09E3" w:rsidRDefault="003E09E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Whether subband TPMI is needed is FFS</w:t>
      </w:r>
    </w:p>
    <w:p w14:paraId="7650DF21" w14:textId="77777777" w:rsidR="003E09E3" w:rsidRDefault="003E09E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value of X is not determined by UL MIMO subband precoding gains</w:t>
      </w:r>
    </w:p>
    <w:p w14:paraId="178CF20C" w14:textId="77777777" w:rsidR="003E09E3" w:rsidRDefault="003E09E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Codebooks with non-constant modulus are considered as an alternative to subband TPMI for UL MIMO</w:t>
      </w:r>
    </w:p>
    <w:p w14:paraId="152E6FFB" w14:textId="77777777" w:rsidR="003E09E3" w:rsidRDefault="003E09E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Prioritize the design of a robust, simple, codebook as a baseline, and add other codebooks according to their gain, complexity, and use case.</w:t>
      </w:r>
    </w:p>
    <w:p w14:paraId="318ABDCF" w14:textId="77777777" w:rsidR="003E09E3" w:rsidRDefault="003E09E3">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Rel-15 NR supports at most 4 layers for SU-MIMO transmission and codebooks.</w:t>
      </w:r>
    </w:p>
    <w:p w14:paraId="32A08EEF" w14:textId="77777777" w:rsidR="003E09E3" w:rsidRDefault="003E09E3">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multi stage codebook structure (e.g. using W=W</w:t>
      </w:r>
      <w:r w:rsidRPr="00F02933">
        <w:rPr>
          <w:vertAlign w:val="subscript"/>
        </w:rPr>
        <w:t>1</w:t>
      </w:r>
      <w:r>
        <w:t>W</w:t>
      </w:r>
      <w:r w:rsidRPr="00F02933">
        <w:rPr>
          <w:vertAlign w:val="subscript"/>
        </w:rPr>
        <w:t>2</w:t>
      </w:r>
      <w:r>
        <w:t xml:space="preserve"> as in DL) could be useful to reduce overhead if channel correlation so allows, and should be further studied.</w:t>
      </w:r>
    </w:p>
    <w:p w14:paraId="54982D68" w14:textId="77777777" w:rsidR="003E09E3" w:rsidRDefault="003E09E3">
      <w:pPr>
        <w:pStyle w:val="TOC1"/>
        <w:rPr>
          <w:rFonts w:asciiTheme="minorHAnsi" w:eastAsiaTheme="minorEastAsia" w:hAnsiTheme="minorHAnsi" w:cstheme="minorBidi"/>
          <w:b w:val="0"/>
          <w:sz w:val="22"/>
          <w:lang w:eastAsia="en-US"/>
        </w:rPr>
      </w:pPr>
      <w:r w:rsidRPr="00F02933">
        <w:rPr>
          <w:rFonts w:eastAsia="MS Mincho"/>
          <w:lang w:eastAsia="ja-JP"/>
        </w:rPr>
        <w:t>Proposal 9</w:t>
      </w:r>
      <w:r>
        <w:rPr>
          <w:rFonts w:asciiTheme="minorHAnsi" w:eastAsiaTheme="minorEastAsia" w:hAnsiTheme="minorHAnsi" w:cstheme="minorBidi"/>
          <w:b w:val="0"/>
          <w:sz w:val="22"/>
          <w:lang w:eastAsia="en-US"/>
        </w:rPr>
        <w:tab/>
      </w:r>
      <w:r w:rsidRPr="00F02933">
        <w:rPr>
          <w:rFonts w:eastAsia="MS Mincho"/>
          <w:lang w:eastAsia="ja-JP"/>
        </w:rPr>
        <w:t>A variation of Alt 1 from RAN1#88bis is supported for at least wideband TPMI and single stage codebook: TPMI is signaled via DCI to the UE only for allocated PRBs for a given PUSCH transmission</w:t>
      </w:r>
    </w:p>
    <w:p w14:paraId="6D12CCAA" w14:textId="77777777" w:rsidR="003E09E3" w:rsidRDefault="003E09E3">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Codebook for Codebook based UL transmission should only contain port combining precoders</w:t>
      </w:r>
    </w:p>
    <w:p w14:paraId="05428674" w14:textId="77777777" w:rsidR="003E09E3" w:rsidRDefault="003E09E3">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UL codebook design targets single panel operation; multi-panel operation is supported with the single panel design</w:t>
      </w:r>
    </w:p>
    <w:p w14:paraId="642CCACF" w14:textId="77777777" w:rsidR="003E09E3" w:rsidRDefault="003E09E3">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TPMI can apply to aggregated SRS Resources indicated by multiple SRI(s)</w:t>
      </w:r>
    </w:p>
    <w:p w14:paraId="256D49A8" w14:textId="77777777" w:rsidR="003E09E3" w:rsidRDefault="003E09E3">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SRS resource groups are defined, where a UE can be assumed to be able to transmit only one SRS resource in an SRS resource group at a time, and where a UE can simultaneously transmit one SRS resource from each of multiple SRS resource groups.</w:t>
      </w:r>
    </w:p>
    <w:bookmarkEnd w:id="186"/>
    <w:p w14:paraId="06A552A7" w14:textId="6F5026C1" w:rsidR="009D1484" w:rsidRDefault="00612B86" w:rsidP="00612B86">
      <w:pPr>
        <w:pStyle w:val="Proposal"/>
        <w:numPr>
          <w:ilvl w:val="0"/>
          <w:numId w:val="0"/>
        </w:numPr>
        <w:tabs>
          <w:tab w:val="clear" w:pos="1701"/>
        </w:tabs>
        <w:ind w:left="1701" w:hanging="1701"/>
      </w:pPr>
      <w:r>
        <w:rPr>
          <w:b w:val="0"/>
          <w:bCs w:val="0"/>
        </w:rPr>
        <w:fldChar w:fldCharType="end"/>
      </w:r>
    </w:p>
    <w:p w14:paraId="5B3C850D" w14:textId="77777777" w:rsidR="00F507D1" w:rsidRPr="00CE0424" w:rsidRDefault="00F507D1" w:rsidP="00CE0424">
      <w:pPr>
        <w:pStyle w:val="Heading1"/>
      </w:pPr>
      <w:r w:rsidRPr="00CE0424">
        <w:t>References</w:t>
      </w:r>
    </w:p>
    <w:p w14:paraId="0F09A671" w14:textId="49DA3A1C" w:rsidR="00C56501" w:rsidRDefault="00612B86" w:rsidP="00B54948">
      <w:pPr>
        <w:pStyle w:val="BodyText"/>
        <w:numPr>
          <w:ilvl w:val="0"/>
          <w:numId w:val="21"/>
        </w:numPr>
      </w:pPr>
      <w:bookmarkStart w:id="187" w:name="_Ref485287417"/>
      <w:bookmarkStart w:id="188" w:name="_Ref474167551"/>
      <w:r w:rsidRPr="008E63D5">
        <w:t>R1-</w:t>
      </w:r>
      <w:r w:rsidR="00B54948" w:rsidRPr="00B54948">
        <w:t>1711009</w:t>
      </w:r>
      <w:r w:rsidRPr="008E63D5">
        <w:t xml:space="preserve">, “UL MIMO procedures for </w:t>
      </w:r>
      <w:r w:rsidRPr="00C41AC6">
        <w:t>n</w:t>
      </w:r>
      <w:r w:rsidRPr="008E63D5">
        <w:t xml:space="preserve">on-codebook based transmission”, </w:t>
      </w:r>
      <w:r w:rsidR="00C56501">
        <w:t xml:space="preserve">Ericsson, 3GPP </w:t>
      </w:r>
      <w:r w:rsidR="00C56501" w:rsidRPr="007E4357">
        <w:t>TSG RAN WG1 Meeting #89</w:t>
      </w:r>
      <w:r w:rsidR="00C56501">
        <w:t xml:space="preserve"> adhoc 2, Qingdao, P.R. China, June 27-30, 2017</w:t>
      </w:r>
      <w:bookmarkEnd w:id="187"/>
    </w:p>
    <w:p w14:paraId="3A69748D" w14:textId="77777777" w:rsidR="00C56501" w:rsidRPr="00B95E53" w:rsidRDefault="00C56501" w:rsidP="00C56501">
      <w:pPr>
        <w:pStyle w:val="BodyText"/>
        <w:numPr>
          <w:ilvl w:val="0"/>
          <w:numId w:val="21"/>
        </w:numPr>
      </w:pPr>
      <w:bookmarkStart w:id="189" w:name="_Ref485288266"/>
      <w:r w:rsidRPr="008E63D5">
        <w:t>R1-170</w:t>
      </w:r>
      <w:r w:rsidRPr="00C41AC6">
        <w:t>86</w:t>
      </w:r>
      <w:r>
        <w:t>69</w:t>
      </w:r>
      <w:r w:rsidRPr="008E63D5">
        <w:t xml:space="preserve">, “UL MIMO procedures for </w:t>
      </w:r>
      <w:r>
        <w:t>c</w:t>
      </w:r>
      <w:r w:rsidRPr="008E63D5">
        <w:t xml:space="preserve">odebook based transmission”, Ericsson, </w:t>
      </w:r>
      <w:r w:rsidRPr="00303959">
        <w:t xml:space="preserve">3GPP TSG RAN WG1 Meeting #89, Hangzhou, P.R. China, </w:t>
      </w:r>
      <w:r w:rsidRPr="00D22F2C">
        <w:t>May 15-19, 2017</w:t>
      </w:r>
      <w:bookmarkEnd w:id="189"/>
    </w:p>
    <w:p w14:paraId="1726B55D" w14:textId="04FD7CFD" w:rsidR="00612B86" w:rsidRDefault="00612B86" w:rsidP="00612B86">
      <w:pPr>
        <w:pStyle w:val="BodyText"/>
        <w:numPr>
          <w:ilvl w:val="0"/>
          <w:numId w:val="21"/>
        </w:numPr>
      </w:pPr>
      <w:bookmarkStart w:id="190" w:name="_Ref481754337"/>
      <w:bookmarkEnd w:id="188"/>
      <w:r>
        <w:t>3GPP TR 38.913 v14.2</w:t>
      </w:r>
      <w:r w:rsidRPr="006F6145">
        <w:t>.0, “</w:t>
      </w:r>
      <w:r>
        <w:t>Study on Scenarios and Requirements for Next Generation Access Technologies</w:t>
      </w:r>
      <w:r w:rsidRPr="006F6145">
        <w:t xml:space="preserve"> (Release 14)”, March 2017</w:t>
      </w:r>
      <w:bookmarkEnd w:id="190"/>
    </w:p>
    <w:p w14:paraId="6127809F" w14:textId="43F279F1" w:rsidR="00916747" w:rsidRDefault="003A26A0" w:rsidP="003A26A0">
      <w:pPr>
        <w:pStyle w:val="BodyText"/>
        <w:numPr>
          <w:ilvl w:val="0"/>
          <w:numId w:val="21"/>
        </w:numPr>
      </w:pPr>
      <w:bookmarkStart w:id="191" w:name="_Ref485288006"/>
      <w:r>
        <w:t>R1-</w:t>
      </w:r>
      <w:bookmarkStart w:id="192" w:name="_GoBack"/>
      <w:bookmarkEnd w:id="192"/>
      <w:r w:rsidRPr="003A26A0">
        <w:t>1711016</w:t>
      </w:r>
      <w:r w:rsidR="00100143">
        <w:t>. “U</w:t>
      </w:r>
      <w:r w:rsidR="00916747">
        <w:t>L beam management</w:t>
      </w:r>
      <w:r w:rsidR="00100143">
        <w:t xml:space="preserve"> details”, Ericsson, 3GPP </w:t>
      </w:r>
      <w:r w:rsidR="00100143" w:rsidRPr="007E4357">
        <w:t>TSG RAN WG1 Meeting #89</w:t>
      </w:r>
      <w:r w:rsidR="00100143">
        <w:t xml:space="preserve"> adhoc 2, Qingdao, P.R. China, June 27-30, 2017</w:t>
      </w:r>
      <w:bookmarkEnd w:id="191"/>
    </w:p>
    <w:p w14:paraId="01D25A92" w14:textId="70BBA2E0" w:rsidR="00163077" w:rsidRDefault="009A764B" w:rsidP="009A764B">
      <w:pPr>
        <w:pStyle w:val="BodyText"/>
        <w:numPr>
          <w:ilvl w:val="0"/>
          <w:numId w:val="21"/>
        </w:numPr>
      </w:pPr>
      <w:bookmarkStart w:id="193" w:name="_Ref485290739"/>
      <w:r>
        <w:t>R1-1709735</w:t>
      </w:r>
      <w:r w:rsidR="00163077" w:rsidRPr="00163077">
        <w:t>, “</w:t>
      </w:r>
      <w:r w:rsidRPr="009A764B">
        <w:t>Way Forward on Uplink Multi-panel and Multi-TRP operation</w:t>
      </w:r>
      <w:r w:rsidR="00163077" w:rsidRPr="00163077">
        <w:t xml:space="preserve">”, </w:t>
      </w:r>
      <w:r>
        <w:t>Intel et. al.</w:t>
      </w:r>
      <w:r w:rsidR="00163077" w:rsidRPr="00163077">
        <w:t>, 3GPP TSG RAN WG1 Meeting #89, Hangzhou, P.R. China, May 15-19, 2017</w:t>
      </w:r>
      <w:bookmarkEnd w:id="193"/>
    </w:p>
    <w:p w14:paraId="0746CA2F" w14:textId="43350A56" w:rsidR="009D1484" w:rsidRPr="00CE0424" w:rsidRDefault="009D1484" w:rsidP="00612B86">
      <w:pPr>
        <w:pStyle w:val="Reference"/>
        <w:numPr>
          <w:ilvl w:val="0"/>
          <w:numId w:val="0"/>
        </w:numPr>
        <w:ind w:left="567"/>
      </w:pPr>
    </w:p>
    <w:p w14:paraId="3BC9304B" w14:textId="30E61F2D" w:rsidR="003A7EF3" w:rsidRPr="00CE0424" w:rsidRDefault="003A7EF3" w:rsidP="009D1484">
      <w:pPr>
        <w:pStyle w:val="Reference"/>
        <w:numPr>
          <w:ilvl w:val="0"/>
          <w:numId w:val="0"/>
        </w:numPr>
        <w:ind w:left="567"/>
      </w:pPr>
    </w:p>
    <w:sectPr w:rsidR="003A7EF3"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D3A48" w14:textId="77777777" w:rsidR="00BA35E7" w:rsidRDefault="00BA35E7">
      <w:r>
        <w:separator/>
      </w:r>
    </w:p>
  </w:endnote>
  <w:endnote w:type="continuationSeparator" w:id="0">
    <w:p w14:paraId="417F8D3F" w14:textId="77777777" w:rsidR="00BA35E7" w:rsidRDefault="00BA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63DE70E" w:rsidR="000D3024" w:rsidRDefault="000D30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09E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09E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9D745" w14:textId="77777777" w:rsidR="00BA35E7" w:rsidRDefault="00BA35E7">
      <w:r>
        <w:separator/>
      </w:r>
    </w:p>
  </w:footnote>
  <w:footnote w:type="continuationSeparator" w:id="0">
    <w:p w14:paraId="49BF65F8" w14:textId="77777777" w:rsidR="00BA35E7" w:rsidRDefault="00BA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0D3024" w:rsidRDefault="000D30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2"/>
  </w:num>
  <w:num w:numId="15">
    <w:abstractNumId w:val="7"/>
  </w:num>
  <w:num w:numId="16">
    <w:abstractNumId w:val="14"/>
    <w:lvlOverride w:ilvl="0">
      <w:startOverride w:val="1"/>
    </w:lvlOverride>
  </w:num>
  <w:num w:numId="17">
    <w:abstractNumId w:val="14"/>
    <w:lvlOverride w:ilvl="0">
      <w:startOverride w:val="1"/>
    </w:lvlOverride>
  </w:num>
  <w:num w:numId="18">
    <w:abstractNumId w:val="17"/>
  </w:num>
  <w:num w:numId="19">
    <w:abstractNumId w:val="8"/>
  </w:num>
  <w:num w:numId="20">
    <w:abstractNumId w:val="6"/>
  </w:num>
  <w:num w:numId="21">
    <w:abstractNumId w:val="13"/>
  </w:num>
  <w:num w:numId="22">
    <w:abstractNumId w:val="14"/>
    <w:lvlOverride w:ilvl="0">
      <w:startOverride w:val="1"/>
    </w:lvlOverride>
  </w:num>
  <w:num w:numId="23">
    <w:abstractNumId w:val="4"/>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B6F"/>
    <w:rsid w:val="00042009"/>
    <w:rsid w:val="000422E2"/>
    <w:rsid w:val="00042F22"/>
    <w:rsid w:val="000444EF"/>
    <w:rsid w:val="0004583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EBA"/>
    <w:rsid w:val="000D0D07"/>
    <w:rsid w:val="000D3024"/>
    <w:rsid w:val="000D4797"/>
    <w:rsid w:val="000E0527"/>
    <w:rsid w:val="000E1E92"/>
    <w:rsid w:val="000E7333"/>
    <w:rsid w:val="000F06D6"/>
    <w:rsid w:val="000F0EB1"/>
    <w:rsid w:val="000F1106"/>
    <w:rsid w:val="000F3BE9"/>
    <w:rsid w:val="000F3F6C"/>
    <w:rsid w:val="000F6DF3"/>
    <w:rsid w:val="00100143"/>
    <w:rsid w:val="001005FF"/>
    <w:rsid w:val="001062FB"/>
    <w:rsid w:val="001063E6"/>
    <w:rsid w:val="00111B29"/>
    <w:rsid w:val="00112280"/>
    <w:rsid w:val="001132AA"/>
    <w:rsid w:val="00113CF4"/>
    <w:rsid w:val="001153EA"/>
    <w:rsid w:val="00115643"/>
    <w:rsid w:val="00116765"/>
    <w:rsid w:val="001219F5"/>
    <w:rsid w:val="00121A20"/>
    <w:rsid w:val="0012377F"/>
    <w:rsid w:val="00124314"/>
    <w:rsid w:val="00126B4A"/>
    <w:rsid w:val="00132A90"/>
    <w:rsid w:val="00132FD0"/>
    <w:rsid w:val="001344C0"/>
    <w:rsid w:val="001346FA"/>
    <w:rsid w:val="00135252"/>
    <w:rsid w:val="00137AB5"/>
    <w:rsid w:val="00137F0B"/>
    <w:rsid w:val="00151E23"/>
    <w:rsid w:val="001526E0"/>
    <w:rsid w:val="0015373E"/>
    <w:rsid w:val="001551B5"/>
    <w:rsid w:val="00163077"/>
    <w:rsid w:val="001659C1"/>
    <w:rsid w:val="00173A8E"/>
    <w:rsid w:val="0018143F"/>
    <w:rsid w:val="00190AC1"/>
    <w:rsid w:val="0019341A"/>
    <w:rsid w:val="00197DF9"/>
    <w:rsid w:val="001A1987"/>
    <w:rsid w:val="001A2564"/>
    <w:rsid w:val="001A6173"/>
    <w:rsid w:val="001A6CBA"/>
    <w:rsid w:val="001A7BE9"/>
    <w:rsid w:val="001B0D97"/>
    <w:rsid w:val="001B5A5D"/>
    <w:rsid w:val="001C1CE5"/>
    <w:rsid w:val="001C2660"/>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053"/>
    <w:rsid w:val="002145BE"/>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B7"/>
    <w:rsid w:val="00286ACD"/>
    <w:rsid w:val="00287838"/>
    <w:rsid w:val="002907B5"/>
    <w:rsid w:val="00292EB7"/>
    <w:rsid w:val="002936F3"/>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2F7F24"/>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F97"/>
    <w:rsid w:val="00346DB5"/>
    <w:rsid w:val="003477B1"/>
    <w:rsid w:val="00356A14"/>
    <w:rsid w:val="00357380"/>
    <w:rsid w:val="003602D9"/>
    <w:rsid w:val="003604CE"/>
    <w:rsid w:val="00370E47"/>
    <w:rsid w:val="003742AC"/>
    <w:rsid w:val="00374ADB"/>
    <w:rsid w:val="00377CE1"/>
    <w:rsid w:val="003804CC"/>
    <w:rsid w:val="00385BF0"/>
    <w:rsid w:val="003939FF"/>
    <w:rsid w:val="003A0E41"/>
    <w:rsid w:val="003A2223"/>
    <w:rsid w:val="003A26A0"/>
    <w:rsid w:val="003A2A0F"/>
    <w:rsid w:val="003A45A1"/>
    <w:rsid w:val="003A5B0A"/>
    <w:rsid w:val="003A6BAC"/>
    <w:rsid w:val="003A7EF3"/>
    <w:rsid w:val="003B159C"/>
    <w:rsid w:val="003B369F"/>
    <w:rsid w:val="003B36A3"/>
    <w:rsid w:val="003B7FE5"/>
    <w:rsid w:val="003C11C8"/>
    <w:rsid w:val="003C2702"/>
    <w:rsid w:val="003C2942"/>
    <w:rsid w:val="003C7806"/>
    <w:rsid w:val="003D109F"/>
    <w:rsid w:val="003D2478"/>
    <w:rsid w:val="003D3C45"/>
    <w:rsid w:val="003D5B1F"/>
    <w:rsid w:val="003E09E3"/>
    <w:rsid w:val="003E15FA"/>
    <w:rsid w:val="003E55E4"/>
    <w:rsid w:val="003E74E3"/>
    <w:rsid w:val="003F05C7"/>
    <w:rsid w:val="003F2A72"/>
    <w:rsid w:val="003F2CD4"/>
    <w:rsid w:val="003F6BBE"/>
    <w:rsid w:val="003F6CE5"/>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8C0"/>
    <w:rsid w:val="004517AA"/>
    <w:rsid w:val="00452CAC"/>
    <w:rsid w:val="00457565"/>
    <w:rsid w:val="00457B71"/>
    <w:rsid w:val="00463B4B"/>
    <w:rsid w:val="00465ABC"/>
    <w:rsid w:val="004669E2"/>
    <w:rsid w:val="00470C31"/>
    <w:rsid w:val="004734D0"/>
    <w:rsid w:val="0047556B"/>
    <w:rsid w:val="00477768"/>
    <w:rsid w:val="00477F5F"/>
    <w:rsid w:val="00492BC5"/>
    <w:rsid w:val="004964F1"/>
    <w:rsid w:val="004A110B"/>
    <w:rsid w:val="004A16BC"/>
    <w:rsid w:val="004A2B94"/>
    <w:rsid w:val="004B19EB"/>
    <w:rsid w:val="004B7C0C"/>
    <w:rsid w:val="004C3898"/>
    <w:rsid w:val="004C5F6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CC5"/>
    <w:rsid w:val="00534B59"/>
    <w:rsid w:val="00536759"/>
    <w:rsid w:val="00537C62"/>
    <w:rsid w:val="00546970"/>
    <w:rsid w:val="00554192"/>
    <w:rsid w:val="00554E19"/>
    <w:rsid w:val="00557AFA"/>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7814"/>
    <w:rsid w:val="0060787C"/>
    <w:rsid w:val="00611B83"/>
    <w:rsid w:val="00612B86"/>
    <w:rsid w:val="00613257"/>
    <w:rsid w:val="00620A71"/>
    <w:rsid w:val="00620D80"/>
    <w:rsid w:val="00622F9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8D3"/>
    <w:rsid w:val="00654C0B"/>
    <w:rsid w:val="00655733"/>
    <w:rsid w:val="00655ACD"/>
    <w:rsid w:val="00656A92"/>
    <w:rsid w:val="00656DDE"/>
    <w:rsid w:val="0066011D"/>
    <w:rsid w:val="006607C0"/>
    <w:rsid w:val="006613A6"/>
    <w:rsid w:val="006627A2"/>
    <w:rsid w:val="006634E6"/>
    <w:rsid w:val="00664A27"/>
    <w:rsid w:val="006655EE"/>
    <w:rsid w:val="00667EE7"/>
    <w:rsid w:val="00670922"/>
    <w:rsid w:val="00670BE1"/>
    <w:rsid w:val="0067218F"/>
    <w:rsid w:val="006741F2"/>
    <w:rsid w:val="00674CC3"/>
    <w:rsid w:val="00675C72"/>
    <w:rsid w:val="006771F9"/>
    <w:rsid w:val="006776D7"/>
    <w:rsid w:val="00681003"/>
    <w:rsid w:val="00681292"/>
    <w:rsid w:val="006817C9"/>
    <w:rsid w:val="00683ECE"/>
    <w:rsid w:val="006840FB"/>
    <w:rsid w:val="00695FC2"/>
    <w:rsid w:val="00696949"/>
    <w:rsid w:val="00697052"/>
    <w:rsid w:val="006A46FB"/>
    <w:rsid w:val="006A5E28"/>
    <w:rsid w:val="006A6585"/>
    <w:rsid w:val="006A697B"/>
    <w:rsid w:val="006A7AFF"/>
    <w:rsid w:val="006B1816"/>
    <w:rsid w:val="006B2099"/>
    <w:rsid w:val="006B28FE"/>
    <w:rsid w:val="006B50CF"/>
    <w:rsid w:val="006C03B8"/>
    <w:rsid w:val="006C5EC9"/>
    <w:rsid w:val="006C6059"/>
    <w:rsid w:val="006C7522"/>
    <w:rsid w:val="006D6F08"/>
    <w:rsid w:val="006E062C"/>
    <w:rsid w:val="006E077D"/>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943"/>
    <w:rsid w:val="007362A6"/>
    <w:rsid w:val="00736D7D"/>
    <w:rsid w:val="00737FB0"/>
    <w:rsid w:val="00740E58"/>
    <w:rsid w:val="00741A7D"/>
    <w:rsid w:val="007445A0"/>
    <w:rsid w:val="0074524B"/>
    <w:rsid w:val="00747D8B"/>
    <w:rsid w:val="00751228"/>
    <w:rsid w:val="007571E1"/>
    <w:rsid w:val="007604B2"/>
    <w:rsid w:val="00761D64"/>
    <w:rsid w:val="00765281"/>
    <w:rsid w:val="00766BAD"/>
    <w:rsid w:val="007723F7"/>
    <w:rsid w:val="007755F2"/>
    <w:rsid w:val="00776971"/>
    <w:rsid w:val="00777D37"/>
    <w:rsid w:val="0078177E"/>
    <w:rsid w:val="0078304C"/>
    <w:rsid w:val="00783673"/>
    <w:rsid w:val="00785490"/>
    <w:rsid w:val="00790B99"/>
    <w:rsid w:val="007925EA"/>
    <w:rsid w:val="00793CD8"/>
    <w:rsid w:val="00795C92"/>
    <w:rsid w:val="00796231"/>
    <w:rsid w:val="007A083F"/>
    <w:rsid w:val="007A1CB3"/>
    <w:rsid w:val="007A306F"/>
    <w:rsid w:val="007A43A6"/>
    <w:rsid w:val="007A58A6"/>
    <w:rsid w:val="007B3D2D"/>
    <w:rsid w:val="007B50AE"/>
    <w:rsid w:val="007B51DF"/>
    <w:rsid w:val="007B7374"/>
    <w:rsid w:val="007B7FF0"/>
    <w:rsid w:val="007C05DD"/>
    <w:rsid w:val="007C3D18"/>
    <w:rsid w:val="007C60BF"/>
    <w:rsid w:val="007C6A07"/>
    <w:rsid w:val="007C75A1"/>
    <w:rsid w:val="007C77A5"/>
    <w:rsid w:val="007D04E5"/>
    <w:rsid w:val="007D5901"/>
    <w:rsid w:val="007D7526"/>
    <w:rsid w:val="007E4610"/>
    <w:rsid w:val="007E4715"/>
    <w:rsid w:val="007E505B"/>
    <w:rsid w:val="007E7091"/>
    <w:rsid w:val="007F1186"/>
    <w:rsid w:val="007F75D5"/>
    <w:rsid w:val="00803FAE"/>
    <w:rsid w:val="0080605F"/>
    <w:rsid w:val="00806EE7"/>
    <w:rsid w:val="00807786"/>
    <w:rsid w:val="00811FCB"/>
    <w:rsid w:val="008158D6"/>
    <w:rsid w:val="00817196"/>
    <w:rsid w:val="00821C30"/>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D1C"/>
    <w:rsid w:val="00877F18"/>
    <w:rsid w:val="00894A88"/>
    <w:rsid w:val="00895386"/>
    <w:rsid w:val="008A21FF"/>
    <w:rsid w:val="008A2CE2"/>
    <w:rsid w:val="008A30AC"/>
    <w:rsid w:val="008A44B8"/>
    <w:rsid w:val="008A51A8"/>
    <w:rsid w:val="008A54C7"/>
    <w:rsid w:val="008A77D8"/>
    <w:rsid w:val="008B0483"/>
    <w:rsid w:val="008B0E44"/>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E65"/>
    <w:rsid w:val="0090336B"/>
    <w:rsid w:val="009053AA"/>
    <w:rsid w:val="00906939"/>
    <w:rsid w:val="00910B7D"/>
    <w:rsid w:val="00911DFB"/>
    <w:rsid w:val="009139D9"/>
    <w:rsid w:val="00914AD8"/>
    <w:rsid w:val="00916079"/>
    <w:rsid w:val="00916747"/>
    <w:rsid w:val="00917CE9"/>
    <w:rsid w:val="00920BF2"/>
    <w:rsid w:val="00922010"/>
    <w:rsid w:val="00930D66"/>
    <w:rsid w:val="00931BD9"/>
    <w:rsid w:val="00935739"/>
    <w:rsid w:val="0093607C"/>
    <w:rsid w:val="009368F3"/>
    <w:rsid w:val="00941636"/>
    <w:rsid w:val="00942020"/>
    <w:rsid w:val="00942047"/>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263"/>
    <w:rsid w:val="00991761"/>
    <w:rsid w:val="00994DCA"/>
    <w:rsid w:val="009960EC"/>
    <w:rsid w:val="009970DD"/>
    <w:rsid w:val="00997CB2"/>
    <w:rsid w:val="009A0FBA"/>
    <w:rsid w:val="009A1601"/>
    <w:rsid w:val="009A18A7"/>
    <w:rsid w:val="009A462D"/>
    <w:rsid w:val="009A5CBA"/>
    <w:rsid w:val="009A764B"/>
    <w:rsid w:val="009B1F30"/>
    <w:rsid w:val="009B3AC2"/>
    <w:rsid w:val="009B4DF4"/>
    <w:rsid w:val="009B564E"/>
    <w:rsid w:val="009B7E87"/>
    <w:rsid w:val="009C403E"/>
    <w:rsid w:val="009C6832"/>
    <w:rsid w:val="009D1484"/>
    <w:rsid w:val="009D4FF0"/>
    <w:rsid w:val="009D703C"/>
    <w:rsid w:val="009D718F"/>
    <w:rsid w:val="009E068F"/>
    <w:rsid w:val="009E14E0"/>
    <w:rsid w:val="009E35DB"/>
    <w:rsid w:val="009E47A3"/>
    <w:rsid w:val="009F08F3"/>
    <w:rsid w:val="009F344F"/>
    <w:rsid w:val="009F6771"/>
    <w:rsid w:val="00A031D8"/>
    <w:rsid w:val="00A048A8"/>
    <w:rsid w:val="00A04F49"/>
    <w:rsid w:val="00A13E54"/>
    <w:rsid w:val="00A15745"/>
    <w:rsid w:val="00A17F63"/>
    <w:rsid w:val="00A2178B"/>
    <w:rsid w:val="00A2193B"/>
    <w:rsid w:val="00A2351A"/>
    <w:rsid w:val="00A264A9"/>
    <w:rsid w:val="00A27785"/>
    <w:rsid w:val="00A30187"/>
    <w:rsid w:val="00A3448A"/>
    <w:rsid w:val="00A36297"/>
    <w:rsid w:val="00A41E2B"/>
    <w:rsid w:val="00A45B74"/>
    <w:rsid w:val="00A52E1D"/>
    <w:rsid w:val="00A61499"/>
    <w:rsid w:val="00A62A77"/>
    <w:rsid w:val="00A63483"/>
    <w:rsid w:val="00A63562"/>
    <w:rsid w:val="00A657D7"/>
    <w:rsid w:val="00A660AC"/>
    <w:rsid w:val="00A67E6C"/>
    <w:rsid w:val="00A71B99"/>
    <w:rsid w:val="00A739D0"/>
    <w:rsid w:val="00A76183"/>
    <w:rsid w:val="00A761D4"/>
    <w:rsid w:val="00A77EC4"/>
    <w:rsid w:val="00A81388"/>
    <w:rsid w:val="00A85C6C"/>
    <w:rsid w:val="00A85EF6"/>
    <w:rsid w:val="00A92879"/>
    <w:rsid w:val="00A9442A"/>
    <w:rsid w:val="00AA016F"/>
    <w:rsid w:val="00AA1ED6"/>
    <w:rsid w:val="00AA51D6"/>
    <w:rsid w:val="00AB0BC8"/>
    <w:rsid w:val="00AB0D04"/>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7AF"/>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4948"/>
    <w:rsid w:val="00B664C7"/>
    <w:rsid w:val="00B739F6"/>
    <w:rsid w:val="00B75A51"/>
    <w:rsid w:val="00B81A6C"/>
    <w:rsid w:val="00B85DE5"/>
    <w:rsid w:val="00B90F73"/>
    <w:rsid w:val="00B93B59"/>
    <w:rsid w:val="00B9406A"/>
    <w:rsid w:val="00BA2280"/>
    <w:rsid w:val="00BA2A08"/>
    <w:rsid w:val="00BA35E7"/>
    <w:rsid w:val="00BA56D2"/>
    <w:rsid w:val="00BA76E0"/>
    <w:rsid w:val="00BB2A25"/>
    <w:rsid w:val="00BB51E9"/>
    <w:rsid w:val="00BB64AB"/>
    <w:rsid w:val="00BC0FDC"/>
    <w:rsid w:val="00BC3053"/>
    <w:rsid w:val="00BC4D2E"/>
    <w:rsid w:val="00BD44FA"/>
    <w:rsid w:val="00BD48AC"/>
    <w:rsid w:val="00BD5F1A"/>
    <w:rsid w:val="00BE1234"/>
    <w:rsid w:val="00BE2FA6"/>
    <w:rsid w:val="00BE333F"/>
    <w:rsid w:val="00BE7406"/>
    <w:rsid w:val="00BE7603"/>
    <w:rsid w:val="00BF3279"/>
    <w:rsid w:val="00BF74C7"/>
    <w:rsid w:val="00BF7642"/>
    <w:rsid w:val="00BF7B0F"/>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1919"/>
    <w:rsid w:val="00C53F2C"/>
    <w:rsid w:val="00C54995"/>
    <w:rsid w:val="00C54D41"/>
    <w:rsid w:val="00C56501"/>
    <w:rsid w:val="00C60783"/>
    <w:rsid w:val="00C64672"/>
    <w:rsid w:val="00C66C9B"/>
    <w:rsid w:val="00C70697"/>
    <w:rsid w:val="00C72EF4"/>
    <w:rsid w:val="00C75D2F"/>
    <w:rsid w:val="00C767BE"/>
    <w:rsid w:val="00C76E3C"/>
    <w:rsid w:val="00C81568"/>
    <w:rsid w:val="00C8257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EBE"/>
    <w:rsid w:val="00CC7B45"/>
    <w:rsid w:val="00CD0498"/>
    <w:rsid w:val="00CD1188"/>
    <w:rsid w:val="00CD2ED1"/>
    <w:rsid w:val="00CD337B"/>
    <w:rsid w:val="00CE0424"/>
    <w:rsid w:val="00CE7561"/>
    <w:rsid w:val="00CF1354"/>
    <w:rsid w:val="00CF3B1F"/>
    <w:rsid w:val="00CF3BF6"/>
    <w:rsid w:val="00CF625B"/>
    <w:rsid w:val="00CF687E"/>
    <w:rsid w:val="00D00F2B"/>
    <w:rsid w:val="00D0349B"/>
    <w:rsid w:val="00D10249"/>
    <w:rsid w:val="00D115C3"/>
    <w:rsid w:val="00D11897"/>
    <w:rsid w:val="00D13135"/>
    <w:rsid w:val="00D13E4E"/>
    <w:rsid w:val="00D17064"/>
    <w:rsid w:val="00D239A7"/>
    <w:rsid w:val="00D23F47"/>
    <w:rsid w:val="00D346CA"/>
    <w:rsid w:val="00D36E71"/>
    <w:rsid w:val="00D37D87"/>
    <w:rsid w:val="00D40B33"/>
    <w:rsid w:val="00D4318F"/>
    <w:rsid w:val="00D438BF"/>
    <w:rsid w:val="00D440F8"/>
    <w:rsid w:val="00D52CA0"/>
    <w:rsid w:val="00D546FF"/>
    <w:rsid w:val="00D55AD5"/>
    <w:rsid w:val="00D576CA"/>
    <w:rsid w:val="00D61AF5"/>
    <w:rsid w:val="00D652B5"/>
    <w:rsid w:val="00D66155"/>
    <w:rsid w:val="00D708B0"/>
    <w:rsid w:val="00D749FD"/>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177"/>
    <w:rsid w:val="00DF37A0"/>
    <w:rsid w:val="00E02BA4"/>
    <w:rsid w:val="00E110E7"/>
    <w:rsid w:val="00E11B20"/>
    <w:rsid w:val="00E17FA2"/>
    <w:rsid w:val="00E22330"/>
    <w:rsid w:val="00E30B5A"/>
    <w:rsid w:val="00E3123D"/>
    <w:rsid w:val="00E31461"/>
    <w:rsid w:val="00E31D43"/>
    <w:rsid w:val="00E32608"/>
    <w:rsid w:val="00E34188"/>
    <w:rsid w:val="00E34B6E"/>
    <w:rsid w:val="00E34C06"/>
    <w:rsid w:val="00E35559"/>
    <w:rsid w:val="00E37027"/>
    <w:rsid w:val="00E3723A"/>
    <w:rsid w:val="00E37860"/>
    <w:rsid w:val="00E4238A"/>
    <w:rsid w:val="00E446F1"/>
    <w:rsid w:val="00E46886"/>
    <w:rsid w:val="00E47AEF"/>
    <w:rsid w:val="00E5186C"/>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25C0"/>
    <w:rsid w:val="00EF45CD"/>
    <w:rsid w:val="00EF5787"/>
    <w:rsid w:val="00EF5F9F"/>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3F7"/>
    <w:rsid w:val="00F96985"/>
    <w:rsid w:val="00F97838"/>
    <w:rsid w:val="00FA1862"/>
    <w:rsid w:val="00FA2BB3"/>
    <w:rsid w:val="00FB4C80"/>
    <w:rsid w:val="00FB6A6A"/>
    <w:rsid w:val="00FB6C9F"/>
    <w:rsid w:val="00FB783E"/>
    <w:rsid w:val="00FC7429"/>
    <w:rsid w:val="00FD07F6"/>
    <w:rsid w:val="00FD1EC8"/>
    <w:rsid w:val="00FD47ED"/>
    <w:rsid w:val="00FD74DB"/>
    <w:rsid w:val="00FD7660"/>
    <w:rsid w:val="00FE0655"/>
    <w:rsid w:val="00FE2365"/>
    <w:rsid w:val="00FE37D7"/>
    <w:rsid w:val="00FE4C7B"/>
    <w:rsid w:val="00FE7336"/>
    <w:rsid w:val="00FE787C"/>
    <w:rsid w:val="00FF45A5"/>
    <w:rsid w:val="00FF4D36"/>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basedOn w:val="Normal"/>
    <w:rsid w:val="007723F7"/>
    <w:pPr>
      <w:numPr>
        <w:ilvl w:val="2"/>
        <w:numId w:val="23"/>
      </w:numPr>
      <w:overflowPunct/>
      <w:autoSpaceDE/>
      <w:autoSpaceDN/>
      <w:adjustRightInd/>
      <w:spacing w:after="0"/>
      <w:jc w:val="left"/>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617072">
      <w:bodyDiv w:val="1"/>
      <w:marLeft w:val="0"/>
      <w:marRight w:val="0"/>
      <w:marTop w:val="0"/>
      <w:marBottom w:val="0"/>
      <w:divBdr>
        <w:top w:val="none" w:sz="0" w:space="0" w:color="auto"/>
        <w:left w:val="none" w:sz="0" w:space="0" w:color="auto"/>
        <w:bottom w:val="none" w:sz="0" w:space="0" w:color="auto"/>
        <w:right w:val="none" w:sz="0" w:space="0" w:color="auto"/>
      </w:divBdr>
      <w:divsChild>
        <w:div w:id="1045564541">
          <w:marLeft w:val="1411"/>
          <w:marRight w:val="0"/>
          <w:marTop w:val="62"/>
          <w:marBottom w:val="0"/>
          <w:divBdr>
            <w:top w:val="none" w:sz="0" w:space="0" w:color="auto"/>
            <w:left w:val="none" w:sz="0" w:space="0" w:color="auto"/>
            <w:bottom w:val="none" w:sz="0" w:space="0" w:color="auto"/>
            <w:right w:val="none" w:sz="0" w:space="0" w:color="auto"/>
          </w:divBdr>
        </w:div>
        <w:div w:id="1394043783">
          <w:marLeft w:val="1973"/>
          <w:marRight w:val="0"/>
          <w:marTop w:val="62"/>
          <w:marBottom w:val="0"/>
          <w:divBdr>
            <w:top w:val="none" w:sz="0" w:space="0" w:color="auto"/>
            <w:left w:val="none" w:sz="0" w:space="0" w:color="auto"/>
            <w:bottom w:val="none" w:sz="0" w:space="0" w:color="auto"/>
            <w:right w:val="none" w:sz="0" w:space="0" w:color="auto"/>
          </w:divBdr>
        </w:div>
        <w:div w:id="1478111065">
          <w:marLeft w:val="1411"/>
          <w:marRight w:val="0"/>
          <w:marTop w:val="62"/>
          <w:marBottom w:val="0"/>
          <w:divBdr>
            <w:top w:val="none" w:sz="0" w:space="0" w:color="auto"/>
            <w:left w:val="none" w:sz="0" w:space="0" w:color="auto"/>
            <w:bottom w:val="none" w:sz="0" w:space="0" w:color="auto"/>
            <w:right w:val="none" w:sz="0" w:space="0" w:color="auto"/>
          </w:divBdr>
        </w:div>
        <w:div w:id="1949385827">
          <w:marLeft w:val="2232"/>
          <w:marRight w:val="0"/>
          <w:marTop w:val="62"/>
          <w:marBottom w:val="0"/>
          <w:divBdr>
            <w:top w:val="none" w:sz="0" w:space="0" w:color="auto"/>
            <w:left w:val="none" w:sz="0" w:space="0" w:color="auto"/>
            <w:bottom w:val="none" w:sz="0" w:space="0" w:color="auto"/>
            <w:right w:val="none" w:sz="0" w:space="0" w:color="auto"/>
          </w:divBdr>
        </w:div>
        <w:div w:id="1705210024">
          <w:marLeft w:val="2549"/>
          <w:marRight w:val="0"/>
          <w:marTop w:val="62"/>
          <w:marBottom w:val="0"/>
          <w:divBdr>
            <w:top w:val="none" w:sz="0" w:space="0" w:color="auto"/>
            <w:left w:val="none" w:sz="0" w:space="0" w:color="auto"/>
            <w:bottom w:val="none" w:sz="0" w:space="0" w:color="auto"/>
            <w:right w:val="none" w:sz="0" w:space="0" w:color="auto"/>
          </w:divBdr>
        </w:div>
        <w:div w:id="1631088947">
          <w:marLeft w:val="2232"/>
          <w:marRight w:val="0"/>
          <w:marTop w:val="62"/>
          <w:marBottom w:val="0"/>
          <w:divBdr>
            <w:top w:val="none" w:sz="0" w:space="0" w:color="auto"/>
            <w:left w:val="none" w:sz="0" w:space="0" w:color="auto"/>
            <w:bottom w:val="none" w:sz="0" w:space="0" w:color="auto"/>
            <w:right w:val="none" w:sz="0" w:space="0" w:color="auto"/>
          </w:divBdr>
        </w:div>
        <w:div w:id="368799456">
          <w:marLeft w:val="157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2DC399-42AF-47B9-9B6F-ABE4E24C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21</TotalTime>
  <Pages>8</Pages>
  <Words>3681</Words>
  <Characters>20987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7</cp:revision>
  <cp:lastPrinted>2008-01-31T15:09:00Z</cp:lastPrinted>
  <dcterms:created xsi:type="dcterms:W3CDTF">2017-06-16T18:40:00Z</dcterms:created>
  <dcterms:modified xsi:type="dcterms:W3CDTF">2017-06-16T19:31:00Z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